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46E5EB7" w14:textId="77777777" w:rsidR="00692C69" w:rsidRDefault="0013194A">
      <w:pPr>
        <w:spacing w:after="0" w:line="360" w:lineRule="exact"/>
        <w:jc w:val="center"/>
        <w:rPr>
          <w:rFonts w:ascii="Times New Roman" w:hAnsi="Times New Roman" w:cs="Times New Roman"/>
          <w:b/>
          <w:bCs/>
          <w:sz w:val="28"/>
          <w:szCs w:val="28"/>
        </w:rPr>
      </w:pPr>
      <w:r>
        <w:rPr>
          <w:rFonts w:ascii="Times New Roman" w:hAnsi="Times New Roman" w:cs="Times New Roman"/>
          <w:b/>
          <w:bCs/>
          <w:sz w:val="28"/>
          <w:szCs w:val="28"/>
        </w:rPr>
        <w:t>BÁO CÁO</w:t>
      </w:r>
    </w:p>
    <w:p w14:paraId="59346A72" w14:textId="1CFFC181" w:rsidR="00692C69" w:rsidRDefault="003305DD">
      <w:pPr>
        <w:spacing w:after="0" w:line="360" w:lineRule="exact"/>
        <w:jc w:val="center"/>
        <w:rPr>
          <w:rFonts w:ascii="Times New Roman" w:hAnsi="Times New Roman" w:cs="Times New Roman"/>
          <w:b/>
          <w:bCs/>
          <w:sz w:val="28"/>
          <w:szCs w:val="28"/>
        </w:rPr>
      </w:pPr>
      <w:r>
        <w:rPr>
          <w:rFonts w:ascii="Times New Roman" w:hAnsi="Times New Roman" w:cs="Times New Roman"/>
          <w:b/>
          <w:bCs/>
          <w:sz w:val="28"/>
          <w:szCs w:val="28"/>
        </w:rPr>
        <w:t xml:space="preserve">MỘT SỐ </w:t>
      </w:r>
      <w:r w:rsidR="0013194A">
        <w:rPr>
          <w:rFonts w:ascii="Times New Roman" w:hAnsi="Times New Roman" w:cs="Times New Roman"/>
          <w:b/>
          <w:bCs/>
          <w:sz w:val="28"/>
          <w:szCs w:val="28"/>
        </w:rPr>
        <w:t>KINH NGHIỆM NƯỚC NGOÀI LIÊN QUAN ĐẾN NHÀ Ở</w:t>
      </w:r>
    </w:p>
    <w:p w14:paraId="1AAF2B43" w14:textId="77777777" w:rsidR="003305DD" w:rsidRDefault="003305DD">
      <w:pPr>
        <w:spacing w:after="0" w:line="360" w:lineRule="exact"/>
        <w:jc w:val="center"/>
        <w:rPr>
          <w:rFonts w:ascii="Times New Roman" w:hAnsi="Times New Roman" w:cs="Times New Roman"/>
          <w:b/>
          <w:bCs/>
          <w:sz w:val="28"/>
          <w:szCs w:val="28"/>
        </w:rPr>
      </w:pPr>
    </w:p>
    <w:p w14:paraId="4AE47AB2" w14:textId="77777777" w:rsidR="00692C69" w:rsidRDefault="0013194A" w:rsidP="00D85525">
      <w:pPr>
        <w:spacing w:after="0" w:line="350" w:lineRule="exact"/>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1. Sở hữu nhà ở </w:t>
      </w:r>
    </w:p>
    <w:p w14:paraId="3A43CBFE" w14:textId="77777777" w:rsidR="002D4457" w:rsidRDefault="002D4457" w:rsidP="00D85525">
      <w:pPr>
        <w:spacing w:after="0" w:line="350" w:lineRule="exact"/>
        <w:ind w:firstLine="720"/>
        <w:jc w:val="both"/>
        <w:rPr>
          <w:rFonts w:ascii="Times New Roman" w:hAnsi="Times New Roman" w:cs="Times New Roman"/>
          <w:color w:val="333333"/>
          <w:sz w:val="28"/>
          <w:szCs w:val="28"/>
          <w:shd w:val="clear" w:color="auto" w:fill="FFFFFF"/>
        </w:rPr>
      </w:pPr>
      <w:r w:rsidRPr="002F6F8F">
        <w:rPr>
          <w:rFonts w:ascii="Times New Roman" w:hAnsi="Times New Roman" w:cs="Times New Roman"/>
          <w:color w:val="333333"/>
          <w:sz w:val="28"/>
          <w:szCs w:val="28"/>
          <w:shd w:val="clear" w:color="auto" w:fill="FFFFFF"/>
        </w:rPr>
        <w:t>Trên thế giới hiện nay, đang song song tồn tại cả chế độ công hữu và chế độ tư hữu về đất đai</w:t>
      </w:r>
      <w:r>
        <w:rPr>
          <w:rFonts w:ascii="Times New Roman" w:hAnsi="Times New Roman" w:cs="Times New Roman"/>
          <w:color w:val="333333"/>
          <w:sz w:val="28"/>
          <w:szCs w:val="28"/>
          <w:shd w:val="clear" w:color="auto" w:fill="FFFFFF"/>
        </w:rPr>
        <w:t xml:space="preserve"> và nhà ở</w:t>
      </w:r>
      <w:r w:rsidRPr="002F6F8F">
        <w:rPr>
          <w:rFonts w:ascii="Times New Roman" w:hAnsi="Times New Roman" w:cs="Times New Roman"/>
          <w:color w:val="333333"/>
          <w:sz w:val="28"/>
          <w:szCs w:val="28"/>
          <w:shd w:val="clear" w:color="auto" w:fill="FFFFFF"/>
        </w:rPr>
        <w:t>. Các nước có chế độ tư hữu phần lớn về đất đai, bao gồm tuyệt đại đa số là các nước tư bản chủ nghĩa</w:t>
      </w:r>
      <w:r>
        <w:rPr>
          <w:rFonts w:ascii="Times New Roman" w:hAnsi="Times New Roman" w:cs="Times New Roman"/>
          <w:color w:val="333333"/>
          <w:sz w:val="28"/>
          <w:szCs w:val="28"/>
          <w:shd w:val="clear" w:color="auto" w:fill="FFFFFF"/>
        </w:rPr>
        <w:t>.</w:t>
      </w:r>
      <w:r w:rsidRPr="002D4457">
        <w:rPr>
          <w:rFonts w:ascii="Times New Roman" w:hAnsi="Times New Roman" w:cs="Times New Roman"/>
          <w:color w:val="333333"/>
          <w:sz w:val="28"/>
          <w:szCs w:val="28"/>
          <w:shd w:val="clear" w:color="auto" w:fill="FFFFFF"/>
        </w:rPr>
        <w:t xml:space="preserve"> </w:t>
      </w:r>
      <w:r w:rsidRPr="002F6F8F">
        <w:rPr>
          <w:rFonts w:ascii="Times New Roman" w:hAnsi="Times New Roman" w:cs="Times New Roman"/>
          <w:color w:val="333333"/>
          <w:sz w:val="28"/>
          <w:szCs w:val="28"/>
          <w:shd w:val="clear" w:color="auto" w:fill="FFFFFF"/>
        </w:rPr>
        <w:t xml:space="preserve">Các nước có chế độ sở hữu toàn dân về đất đai </w:t>
      </w:r>
      <w:r>
        <w:rPr>
          <w:rFonts w:ascii="Times New Roman" w:hAnsi="Times New Roman" w:cs="Times New Roman"/>
          <w:color w:val="333333"/>
          <w:sz w:val="28"/>
          <w:szCs w:val="28"/>
          <w:shd w:val="clear" w:color="auto" w:fill="FFFFFF"/>
        </w:rPr>
        <w:t xml:space="preserve">giống Việt nam </w:t>
      </w:r>
      <w:r w:rsidRPr="002F6F8F">
        <w:rPr>
          <w:rFonts w:ascii="Times New Roman" w:hAnsi="Times New Roman" w:cs="Times New Roman"/>
          <w:color w:val="333333"/>
          <w:sz w:val="28"/>
          <w:szCs w:val="28"/>
          <w:shd w:val="clear" w:color="auto" w:fill="FFFFFF"/>
        </w:rPr>
        <w:t>bao gồm: Trung Quốc, Cu-ba, Triều Tiên, Lào...</w:t>
      </w:r>
    </w:p>
    <w:p w14:paraId="55F59422" w14:textId="77777777" w:rsidR="00692C69" w:rsidRDefault="0013194A" w:rsidP="00D85525">
      <w:pPr>
        <w:spacing w:after="0" w:line="35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1.1. Trung Quốc </w:t>
      </w:r>
    </w:p>
    <w:p w14:paraId="4940B36B" w14:textId="77777777" w:rsidR="002D4457" w:rsidRDefault="002D4457" w:rsidP="00D85525">
      <w:pPr>
        <w:spacing w:after="0" w:line="350" w:lineRule="exact"/>
        <w:ind w:firstLine="720"/>
        <w:jc w:val="both"/>
        <w:rPr>
          <w:rFonts w:ascii="Times New Roman" w:hAnsi="Times New Roman" w:cs="Times New Roman"/>
          <w:sz w:val="28"/>
          <w:szCs w:val="28"/>
        </w:rPr>
      </w:pPr>
      <w:r>
        <w:rPr>
          <w:rFonts w:ascii="Times New Roman" w:hAnsi="Times New Roman" w:cs="Times New Roman"/>
          <w:sz w:val="28"/>
          <w:szCs w:val="28"/>
        </w:rPr>
        <w:t>a</w:t>
      </w:r>
      <w:r w:rsidR="00120B62">
        <w:rPr>
          <w:rFonts w:ascii="Times New Roman" w:hAnsi="Times New Roman" w:cs="Times New Roman"/>
          <w:sz w:val="28"/>
          <w:szCs w:val="28"/>
        </w:rPr>
        <w:t>)</w:t>
      </w:r>
      <w:r>
        <w:rPr>
          <w:rFonts w:ascii="Times New Roman" w:hAnsi="Times New Roman" w:cs="Times New Roman"/>
          <w:sz w:val="28"/>
          <w:szCs w:val="28"/>
        </w:rPr>
        <w:t xml:space="preserve"> Sở hữu nhà ở:</w:t>
      </w:r>
    </w:p>
    <w:p w14:paraId="522FEC42" w14:textId="77777777" w:rsidR="00692C69" w:rsidRDefault="0013194A" w:rsidP="00D85525">
      <w:pPr>
        <w:spacing w:after="0" w:line="35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Theo cơ chế cũ, nhà ở được coi là một bộ phận của hệ thống phúc lợi xã hội và do các cơ quan nhà nước và doanh nghiệp nhà nước cấp hầu như miễn phí cho cán bộ, công nhân viên. Do mức tiền cho thuê nhà quá thấp và không đủ trang trải các chi phí bảo trì thiết yếu đã làm triệt tiêu động lực đầu tư và cải thiện nhà ở. Trải qua một thời gian khủng hoảng thiếu hụt nhà ở, Trung Quốc đã thực hiện cải cách nhà ở, tập trung vào việc điều chỉnh giá thuê nhà ở và tư nhân hóa quỹ nhà hiện có. Việc tư nhân hóa quỹ nhà hiện có được thực hiện theo nhiều cơ chế, ví dụ như đối với những hộ mua nhà theo giá thị trường thì sẽ có đầy đủ quyền sở hữu, kể cả quyền bán lại nhà của mình cho người khác trên thị trường mở, còn đối với những hộ mua nhà được hỗ trợ giá thì chỉ có một phần quyền sở hữu và bị hạn chế trong việc bán lại. Thời điểm năm 1994, Trung Quốc xây dựng hệ thống cung cấp nhà nhiều lớp cho các nhóm đối tượng có thu nhập khác nhau. Những gia đình có thu nhập trung bình hoặc thấp có thể mua các căn hộ hợp túi tiền được Nhà nước trợ giá được xây dựng qua Chương trình nhà ở kinh tế và tiện nghi (ECH), những gia đình có thu nhập cao có thể mua nhà ở thương mại trên thị trường. </w:t>
      </w:r>
    </w:p>
    <w:p w14:paraId="13877865" w14:textId="77777777" w:rsidR="00692C69" w:rsidRDefault="0013194A" w:rsidP="00D85525">
      <w:pPr>
        <w:spacing w:after="0" w:line="35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Sau năm 1994, ngành nhà ở ở Trung Quốc phát triển rất nhanh, tuy nhiên tại thời điểm này, nhà ở thay vì bán cho các hộ gia đình ở đô thị thì hầu hết lại được bán lại cho các cơ quan, đơn vị, sau đó cơ quan, đơn vị bán lại cho cán bộ, công nhân viên của mình với mức giá chiết khấu cao do nhiều cơ quan, đơn vị thuộc sở hữu nhà nước và không bị trói buộc nghiêm ngặt về ngân sách nên hành vi mua bán nhà nói trên làm biến dạng nghiêm trọng thị trường nhà ở.  Từ năm 1998, Chính phủ không cho phép các cơ quan, đơn vị phân phối nhà ở, thay vào đó chỉ được hỗ trợ bằng tiền để cán bộ, công nhân viên mua nhà từ thị trường. Nhờ việc tư nhân hóa quỹ nhà khổng lồ thuộc sở hữu nhà nước và những chính sách kích thích mạnh mẽ của Chính phủ, tỷ lệ sở hữu nhà nước của người dân ở TQ đạt 80% năm 2004. </w:t>
      </w:r>
    </w:p>
    <w:p w14:paraId="4F227B0E" w14:textId="77777777" w:rsidR="002D4457" w:rsidRDefault="002D4457" w:rsidP="00D85525">
      <w:pPr>
        <w:spacing w:after="0" w:line="350" w:lineRule="exact"/>
        <w:ind w:firstLine="720"/>
        <w:jc w:val="both"/>
        <w:rPr>
          <w:rFonts w:ascii="Times New Roman" w:hAnsi="Times New Roman" w:cs="Times New Roman"/>
          <w:sz w:val="28"/>
          <w:szCs w:val="28"/>
        </w:rPr>
      </w:pPr>
      <w:r>
        <w:rPr>
          <w:rFonts w:ascii="Times New Roman" w:hAnsi="Times New Roman" w:cs="Times New Roman"/>
          <w:sz w:val="28"/>
          <w:szCs w:val="28"/>
        </w:rPr>
        <w:t>b) Sở hữu đất đai:</w:t>
      </w:r>
    </w:p>
    <w:p w14:paraId="78D7A30C" w14:textId="77777777" w:rsidR="00232CAD" w:rsidRPr="00232CAD" w:rsidRDefault="00232CAD" w:rsidP="00D85525">
      <w:pPr>
        <w:spacing w:after="0" w:line="350" w:lineRule="exact"/>
        <w:ind w:firstLine="720"/>
        <w:jc w:val="both"/>
        <w:rPr>
          <w:rFonts w:ascii="Times New Roman" w:hAnsi="Times New Roman" w:cs="Times New Roman"/>
          <w:sz w:val="28"/>
          <w:szCs w:val="28"/>
        </w:rPr>
      </w:pPr>
      <w:r w:rsidRPr="00232CAD">
        <w:rPr>
          <w:rFonts w:ascii="Times New Roman" w:hAnsi="Times New Roman" w:cs="Times New Roman"/>
          <w:sz w:val="28"/>
          <w:szCs w:val="28"/>
        </w:rPr>
        <w:t xml:space="preserve">Trung Quốc tiến hành cải cách ruộng đất, chia ruộng đất cho nông dân từ năm 1949, tuy nhiên, hình thức sở hữu tư nhân về đất đai cũng chỉ tồn tại một thời gian ngắn. Sở hữu tập thể và sở hữu nhà nước về đất đai đã được thiết lập ở Trung Quốc từ thập kỷ 50 của thế kỷ XX. Năm 1978, Trung Quốc đã khôi phục kinh tế </w:t>
      </w:r>
      <w:r w:rsidRPr="00232CAD">
        <w:rPr>
          <w:rFonts w:ascii="Times New Roman" w:hAnsi="Times New Roman" w:cs="Times New Roman"/>
          <w:sz w:val="28"/>
          <w:szCs w:val="28"/>
        </w:rPr>
        <w:lastRenderedPageBreak/>
        <w:t>tư nhân, thừa nhận hộ nông dân là một thành phần kinh tế, Nhà nước tiến hành giao đất cho hộ nông dân để tổ chức sản xuất, thay cho mô hình nông trang tập thể. Điều 10 Hiến pháp năm 1982 của Trung Quốc và Luật quản lý đất quy định: đất đai ở Trung Quốc thuộc sở hữu nhà nước, gồm sở hữu nhà nước và sở hữu tập thể, trong đó toàn bộ đất đai thành thị thuộc về sở hữu nhà nước. Đất nông thôn và ngoại ô thành phố, ngoài đất do pháp luật quy định thuộc về sở hữu nhà nước, còn lại là sở hữu tập thể.</w:t>
      </w:r>
    </w:p>
    <w:p w14:paraId="0396F0D5" w14:textId="77777777" w:rsidR="00692C69" w:rsidRDefault="00232CAD" w:rsidP="00232CAD">
      <w:pPr>
        <w:pStyle w:val="NormalWeb"/>
        <w:shd w:val="clear" w:color="auto" w:fill="FFFFFF"/>
        <w:spacing w:before="80" w:beforeAutospacing="0" w:after="80" w:afterAutospacing="0"/>
        <w:ind w:firstLine="720"/>
        <w:jc w:val="both"/>
        <w:rPr>
          <w:sz w:val="28"/>
          <w:szCs w:val="28"/>
        </w:rPr>
      </w:pPr>
      <w:r w:rsidRPr="002F6F8F">
        <w:rPr>
          <w:color w:val="333333"/>
          <w:sz w:val="28"/>
          <w:szCs w:val="28"/>
        </w:rPr>
        <w:t>Hiến pháp năm 1988 (Điều 2) quy đị</w:t>
      </w:r>
      <w:r>
        <w:rPr>
          <w:color w:val="333333"/>
          <w:sz w:val="28"/>
          <w:szCs w:val="28"/>
        </w:rPr>
        <w:t>nh</w:t>
      </w:r>
      <w:r w:rsidR="0013194A">
        <w:rPr>
          <w:sz w:val="28"/>
          <w:szCs w:val="28"/>
        </w:rPr>
        <w:t xml:space="preserve">: toàn bộ đất đô thị thuộc về Nhà nước, các chính quyền địa phương là cơ quan đại diện cho Nhà nước và chịu trách nhiệm thu hồi đất nông nghiệp để phát triển đô thị và phân phối đất cho các đối tượng sử dụng khác nhau. Quyền sở hữu bất động sản ở Trung Quốc nói chung có thể được nhóm thành ba loại. Loại thứ nhất là quyền sở hữu. Loại thứ hai là quyền sử dụng và loại thứ ba là quyền bảo mật. </w:t>
      </w:r>
    </w:p>
    <w:p w14:paraId="50A1DD64"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Người sử dụng đất chỉ nhận được quyền sử dụng đất, không có đất hoặc bất kỳ tài nguyên nào trong hoặc dưới đất. Hợp đồng cấp đất sẽ được ký kết giữa người sử dụng đất và cơ quan quản lý đất đai của chính quyền nhân dân cấp thành phố hoặc quận. Hợp đồng cấp đất phải được ký kết. Quyền sử dụng đất có thể được nhận từ sở quản lý đất đai thông qua thỏa thuận, đấu thầu hoặc đấu giá. Bất kể hình thức cấp quyền sử dụng đất, hợp đồng cấp quyền sử dụng đất, hay thường được gọi là hợp đồng cấp đất, phải được ký kết bởi người sử dụng đất và cơ quan quản lý đất đai địa phương hoặc chính quyền thành phố tại hoặc cao hơn cấp quận với tư cách là người cấp. </w:t>
      </w:r>
    </w:p>
    <w:p w14:paraId="6CB72024"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Thời hạn sử dụng đất được cấp cho các mục đích sử dụng đất khác nhau, cụ thể:  </w:t>
      </w:r>
    </w:p>
    <w:tbl>
      <w:tblPr>
        <w:tblStyle w:val="TableGrid"/>
        <w:tblW w:w="8222" w:type="dxa"/>
        <w:tblInd w:w="562" w:type="dxa"/>
        <w:tblLook w:val="04A0" w:firstRow="1" w:lastRow="0" w:firstColumn="1" w:lastColumn="0" w:noHBand="0" w:noVBand="1"/>
      </w:tblPr>
      <w:tblGrid>
        <w:gridCol w:w="5618"/>
        <w:gridCol w:w="2604"/>
      </w:tblGrid>
      <w:tr w:rsidR="00692C69" w14:paraId="656E61F2" w14:textId="77777777">
        <w:tc>
          <w:tcPr>
            <w:tcW w:w="5618" w:type="dxa"/>
          </w:tcPr>
          <w:p w14:paraId="4858E49D" w14:textId="77777777" w:rsidR="00692C69" w:rsidRDefault="0013194A">
            <w:pPr>
              <w:spacing w:line="360" w:lineRule="exact"/>
              <w:jc w:val="both"/>
              <w:rPr>
                <w:rFonts w:ascii="Times New Roman" w:hAnsi="Times New Roman" w:cs="Times New Roman"/>
                <w:b/>
                <w:bCs/>
                <w:sz w:val="24"/>
                <w:szCs w:val="24"/>
              </w:rPr>
            </w:pPr>
            <w:r>
              <w:rPr>
                <w:rFonts w:ascii="Times New Roman" w:hAnsi="Times New Roman" w:cs="Times New Roman"/>
                <w:b/>
                <w:bCs/>
                <w:sz w:val="24"/>
                <w:szCs w:val="24"/>
              </w:rPr>
              <w:t xml:space="preserve">Mục đích sử dụng đất </w:t>
            </w:r>
          </w:p>
        </w:tc>
        <w:tc>
          <w:tcPr>
            <w:tcW w:w="2604" w:type="dxa"/>
          </w:tcPr>
          <w:p w14:paraId="1547254B" w14:textId="77777777" w:rsidR="00692C69" w:rsidRDefault="0013194A">
            <w:pPr>
              <w:spacing w:line="360" w:lineRule="exact"/>
              <w:jc w:val="both"/>
              <w:rPr>
                <w:rFonts w:ascii="Times New Roman" w:hAnsi="Times New Roman" w:cs="Times New Roman"/>
                <w:b/>
                <w:bCs/>
                <w:sz w:val="24"/>
                <w:szCs w:val="24"/>
              </w:rPr>
            </w:pPr>
            <w:r>
              <w:rPr>
                <w:rFonts w:ascii="Times New Roman" w:hAnsi="Times New Roman" w:cs="Times New Roman"/>
                <w:b/>
                <w:bCs/>
                <w:sz w:val="24"/>
                <w:szCs w:val="24"/>
              </w:rPr>
              <w:t>Thời hạn giao đất</w:t>
            </w:r>
          </w:p>
        </w:tc>
      </w:tr>
      <w:tr w:rsidR="00692C69" w14:paraId="4F0D9CD2" w14:textId="77777777">
        <w:tc>
          <w:tcPr>
            <w:tcW w:w="5618" w:type="dxa"/>
          </w:tcPr>
          <w:p w14:paraId="56B0677D" w14:textId="77777777" w:rsidR="00692C69" w:rsidRDefault="0013194A">
            <w:pPr>
              <w:spacing w:line="360" w:lineRule="exact"/>
              <w:jc w:val="both"/>
              <w:rPr>
                <w:rFonts w:ascii="Times New Roman" w:hAnsi="Times New Roman" w:cs="Times New Roman"/>
                <w:sz w:val="24"/>
                <w:szCs w:val="24"/>
              </w:rPr>
            </w:pPr>
            <w:r>
              <w:rPr>
                <w:rFonts w:ascii="Times New Roman" w:hAnsi="Times New Roman" w:cs="Times New Roman"/>
                <w:sz w:val="24"/>
                <w:szCs w:val="24"/>
              </w:rPr>
              <w:t xml:space="preserve">Đất cho mục đích nhà ở </w:t>
            </w:r>
          </w:p>
        </w:tc>
        <w:tc>
          <w:tcPr>
            <w:tcW w:w="2604" w:type="dxa"/>
          </w:tcPr>
          <w:p w14:paraId="487F19CD" w14:textId="77777777" w:rsidR="00692C69" w:rsidRDefault="0013194A">
            <w:pPr>
              <w:spacing w:line="360" w:lineRule="exact"/>
              <w:jc w:val="both"/>
              <w:rPr>
                <w:rFonts w:ascii="Times New Roman" w:hAnsi="Times New Roman" w:cs="Times New Roman"/>
                <w:sz w:val="24"/>
                <w:szCs w:val="24"/>
              </w:rPr>
            </w:pPr>
            <w:r>
              <w:rPr>
                <w:rFonts w:ascii="Times New Roman" w:hAnsi="Times New Roman" w:cs="Times New Roman"/>
                <w:sz w:val="24"/>
                <w:szCs w:val="24"/>
              </w:rPr>
              <w:t>70 năm</w:t>
            </w:r>
          </w:p>
        </w:tc>
      </w:tr>
      <w:tr w:rsidR="00692C69" w14:paraId="655C23C6" w14:textId="77777777">
        <w:tc>
          <w:tcPr>
            <w:tcW w:w="5618" w:type="dxa"/>
          </w:tcPr>
          <w:p w14:paraId="58460BD7" w14:textId="77777777" w:rsidR="00692C69" w:rsidRDefault="0013194A">
            <w:pPr>
              <w:spacing w:line="360" w:lineRule="exact"/>
              <w:jc w:val="both"/>
              <w:rPr>
                <w:rFonts w:ascii="Times New Roman" w:hAnsi="Times New Roman" w:cs="Times New Roman"/>
                <w:sz w:val="24"/>
                <w:szCs w:val="24"/>
              </w:rPr>
            </w:pPr>
            <w:r>
              <w:rPr>
                <w:rFonts w:ascii="Times New Roman" w:hAnsi="Times New Roman" w:cs="Times New Roman"/>
                <w:sz w:val="24"/>
                <w:szCs w:val="24"/>
              </w:rPr>
              <w:t>Đất cho mục đích công nghiệp</w:t>
            </w:r>
          </w:p>
        </w:tc>
        <w:tc>
          <w:tcPr>
            <w:tcW w:w="2604" w:type="dxa"/>
          </w:tcPr>
          <w:p w14:paraId="124111FF" w14:textId="77777777" w:rsidR="00692C69" w:rsidRDefault="0013194A">
            <w:pPr>
              <w:spacing w:line="360" w:lineRule="exact"/>
              <w:jc w:val="both"/>
              <w:rPr>
                <w:rFonts w:ascii="Times New Roman" w:hAnsi="Times New Roman" w:cs="Times New Roman"/>
                <w:sz w:val="24"/>
                <w:szCs w:val="24"/>
              </w:rPr>
            </w:pPr>
            <w:r>
              <w:rPr>
                <w:rFonts w:ascii="Times New Roman" w:hAnsi="Times New Roman" w:cs="Times New Roman"/>
                <w:sz w:val="24"/>
                <w:szCs w:val="24"/>
              </w:rPr>
              <w:t>50 năm</w:t>
            </w:r>
          </w:p>
        </w:tc>
      </w:tr>
      <w:tr w:rsidR="00692C69" w14:paraId="5950496F" w14:textId="77777777">
        <w:tc>
          <w:tcPr>
            <w:tcW w:w="5618" w:type="dxa"/>
          </w:tcPr>
          <w:p w14:paraId="1AD54F5B" w14:textId="77777777" w:rsidR="00692C69" w:rsidRDefault="0013194A">
            <w:pPr>
              <w:spacing w:line="360" w:lineRule="exact"/>
              <w:jc w:val="both"/>
              <w:rPr>
                <w:rFonts w:ascii="Times New Roman" w:hAnsi="Times New Roman" w:cs="Times New Roman"/>
                <w:sz w:val="24"/>
                <w:szCs w:val="24"/>
              </w:rPr>
            </w:pPr>
            <w:r>
              <w:rPr>
                <w:rFonts w:ascii="Times New Roman" w:hAnsi="Times New Roman" w:cs="Times New Roman"/>
                <w:sz w:val="24"/>
                <w:szCs w:val="24"/>
              </w:rPr>
              <w:t>Đất cho mục đích giáo dục, nghiên cứu, văn hóa, sức khỏe hay thể thao</w:t>
            </w:r>
          </w:p>
        </w:tc>
        <w:tc>
          <w:tcPr>
            <w:tcW w:w="2604" w:type="dxa"/>
          </w:tcPr>
          <w:p w14:paraId="0452032B" w14:textId="77777777" w:rsidR="00692C69" w:rsidRDefault="0013194A">
            <w:pPr>
              <w:spacing w:line="360" w:lineRule="exact"/>
              <w:jc w:val="both"/>
              <w:rPr>
                <w:rFonts w:ascii="Times New Roman" w:hAnsi="Times New Roman" w:cs="Times New Roman"/>
                <w:sz w:val="24"/>
                <w:szCs w:val="24"/>
              </w:rPr>
            </w:pPr>
            <w:r>
              <w:rPr>
                <w:rFonts w:ascii="Times New Roman" w:hAnsi="Times New Roman" w:cs="Times New Roman"/>
                <w:sz w:val="24"/>
                <w:szCs w:val="24"/>
              </w:rPr>
              <w:t>50 năm</w:t>
            </w:r>
          </w:p>
        </w:tc>
      </w:tr>
      <w:tr w:rsidR="00692C69" w14:paraId="435CB442" w14:textId="77777777">
        <w:tc>
          <w:tcPr>
            <w:tcW w:w="5618" w:type="dxa"/>
          </w:tcPr>
          <w:p w14:paraId="781E05BB" w14:textId="77777777" w:rsidR="00692C69" w:rsidRDefault="0013194A">
            <w:pPr>
              <w:spacing w:line="360" w:lineRule="exact"/>
              <w:jc w:val="both"/>
              <w:rPr>
                <w:rFonts w:ascii="Times New Roman" w:hAnsi="Times New Roman" w:cs="Times New Roman"/>
                <w:sz w:val="24"/>
                <w:szCs w:val="24"/>
              </w:rPr>
            </w:pPr>
            <w:r>
              <w:rPr>
                <w:rFonts w:ascii="Times New Roman" w:hAnsi="Times New Roman" w:cs="Times New Roman"/>
                <w:sz w:val="24"/>
                <w:szCs w:val="24"/>
              </w:rPr>
              <w:t xml:space="preserve">Đất cho mục đích thương mại, du lịch hoặc giải trí </w:t>
            </w:r>
          </w:p>
        </w:tc>
        <w:tc>
          <w:tcPr>
            <w:tcW w:w="2604" w:type="dxa"/>
          </w:tcPr>
          <w:p w14:paraId="32CED20B" w14:textId="77777777" w:rsidR="00692C69" w:rsidRDefault="0013194A">
            <w:pPr>
              <w:spacing w:line="360" w:lineRule="exact"/>
              <w:jc w:val="both"/>
              <w:rPr>
                <w:rFonts w:ascii="Times New Roman" w:hAnsi="Times New Roman" w:cs="Times New Roman"/>
                <w:sz w:val="24"/>
                <w:szCs w:val="24"/>
              </w:rPr>
            </w:pPr>
            <w:r>
              <w:rPr>
                <w:rFonts w:ascii="Times New Roman" w:hAnsi="Times New Roman" w:cs="Times New Roman"/>
                <w:sz w:val="24"/>
                <w:szCs w:val="24"/>
              </w:rPr>
              <w:t>40 năm</w:t>
            </w:r>
          </w:p>
        </w:tc>
      </w:tr>
      <w:tr w:rsidR="00692C69" w14:paraId="52342262" w14:textId="77777777">
        <w:tc>
          <w:tcPr>
            <w:tcW w:w="5618" w:type="dxa"/>
          </w:tcPr>
          <w:p w14:paraId="567C0DA9" w14:textId="77777777" w:rsidR="00692C69" w:rsidRDefault="0013194A">
            <w:pPr>
              <w:spacing w:line="360" w:lineRule="exact"/>
              <w:jc w:val="both"/>
              <w:rPr>
                <w:rFonts w:ascii="Times New Roman" w:hAnsi="Times New Roman" w:cs="Times New Roman"/>
                <w:sz w:val="24"/>
                <w:szCs w:val="24"/>
              </w:rPr>
            </w:pPr>
            <w:r>
              <w:rPr>
                <w:rFonts w:ascii="Times New Roman" w:hAnsi="Times New Roman" w:cs="Times New Roman"/>
                <w:sz w:val="24"/>
                <w:szCs w:val="24"/>
              </w:rPr>
              <w:t>Đất cho mục đích hỗn hợp hoặc mục đích khác</w:t>
            </w:r>
          </w:p>
        </w:tc>
        <w:tc>
          <w:tcPr>
            <w:tcW w:w="2604" w:type="dxa"/>
          </w:tcPr>
          <w:p w14:paraId="7024E362" w14:textId="77777777" w:rsidR="00692C69" w:rsidRDefault="0013194A">
            <w:pPr>
              <w:spacing w:line="360" w:lineRule="exact"/>
              <w:jc w:val="both"/>
              <w:rPr>
                <w:rFonts w:ascii="Times New Roman" w:hAnsi="Times New Roman" w:cs="Times New Roman"/>
                <w:sz w:val="24"/>
                <w:szCs w:val="24"/>
              </w:rPr>
            </w:pPr>
            <w:r>
              <w:rPr>
                <w:rFonts w:ascii="Times New Roman" w:hAnsi="Times New Roman" w:cs="Times New Roman"/>
                <w:sz w:val="24"/>
                <w:szCs w:val="24"/>
              </w:rPr>
              <w:t>50 năm</w:t>
            </w:r>
          </w:p>
        </w:tc>
      </w:tr>
    </w:tbl>
    <w:p w14:paraId="3517E624"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Khi hết thời hạn sử dụng, quyền sử dụng đất và quyền sở hữu các tòa nhà trên mặt đất và các vật thể gắn liền khác do Nhà nước thu hồi mà không phải bồi thường. Người sử dụng đất giao lại giấy chứng nhận quyền sử dụng đất và làm các thủ tục cho vô hiệu hóa đăng ký. Trước khi hết hạn sử dụng đất, người sử dụng đất có quyền đăng ký gia hạn và phải nộp tiền sử dụng đất. </w:t>
      </w:r>
    </w:p>
    <w:p w14:paraId="70E4B310"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Nhà nước không thu hồi đất trước khi hết thời hạn sử dụng quyền sử dụng đất, trong những trường hợp đặc biệt, Nhà nước có thể, dựa trên mục đích vì lợi ích công cộng xã hội, rút quyền sử dụng đất trước khi hết thời hạn sử dụng; căn cứ </w:t>
      </w:r>
      <w:r>
        <w:rPr>
          <w:rFonts w:ascii="Times New Roman" w:hAnsi="Times New Roman" w:cs="Times New Roman"/>
          <w:sz w:val="28"/>
          <w:szCs w:val="28"/>
        </w:rPr>
        <w:lastRenderedPageBreak/>
        <w:t xml:space="preserve">vào số năm mà người sử dụng đất đã sử dụng đất đai và việc phát triển, sử dụng mảnh đất bị thu hồi để bồi thường tương ứng cho người bị thu hồi đất. </w:t>
      </w:r>
    </w:p>
    <w:p w14:paraId="10B671AA"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1.2. Hàn Quốc</w:t>
      </w:r>
    </w:p>
    <w:p w14:paraId="42333C2F"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Chế độ đất đai và nhà ở của Hàn Quốc là chế độ sở hữu tư nhân, theo đó người dân được sở hữu nhà ở gắn với đất không có thời hạn sau khi được mua bán hợp pháp. </w:t>
      </w:r>
    </w:p>
    <w:p w14:paraId="42989E1B"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Tại Hàn Quốc có 02 loại nhà ở, gọi là nhà ở quốc gia và nhà ở tư nhân. Nhà ở quốc gia là nhà ở được xây dựng bởi Chính phủ, cơ quan nhà nước tại địa phương, tập đoàn Nhà ở Hàn Quốc hoặc tổ chức xã hội địa phương; nhà ở được xây dựng hoặc cải tạo sử dụng nguồn vốn đầu tư công của Chính phủ hoặc địa phương hoặc từ Quỹ Nhà ở đô thị. Nhà ở tư nhân là các loại nhà ở khác không phải nhà ở quốc gia. </w:t>
      </w:r>
    </w:p>
    <w:p w14:paraId="73F65323"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1.3. Singapore</w:t>
      </w:r>
    </w:p>
    <w:p w14:paraId="4BE0640B"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Ở Singapore, quyền sở hữu tài sản chủ yếu bao gồm sở hữu lâu dài và sở hữu có thời hạn (theo thời hạn thuê). Có hai loại sở hữu lâu dài, gọi là “phí đơn giản” – nghĩa là một chủ sở hữu bất động sản sở hữu một khoản phí đơn giản đối với đất đai, sở hữu tài sản đó vô thời hạn, không cần trả bất kỳ khoản tiền thuê nhà nào, và khi ông qua đời, tài sản sẽ được chuyển cho những người thừa kế của ông. Thứ hai gọi là di sản trọn đời, loại sở hữu này tương đối hiếm, nó trao quyền sở hữu trong suốt cuộc đời của người đó.</w:t>
      </w:r>
    </w:p>
    <w:p w14:paraId="7A6ADD6C"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Sở hữu có thời hạn áp dụng đối với các bất động sản cho thuê, chủ yếu được cấp theo hợp đồng thuê 999 năm hoặc hợp đồng thuê 99 năm. Đất đai thuộc sở hữu của Nhà nước cho người đi thuê tài sản với một khoản phí, để đổi lấy quyền sở hữu và sử dụng độc quyền, với những điều kiện và giao ước nhất định.</w:t>
      </w:r>
    </w:p>
    <w:p w14:paraId="70BD79DC"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1.4. Anh Quốc </w:t>
      </w:r>
    </w:p>
    <w:p w14:paraId="2FF8D00E"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Chế độ đất đai và nhà ở của Anh cũng là chế độ sở hữu tư nhân, nhà ở do Nhà nước đầu tư xây dựng (nhà ở xã hội) chỉ sử dụng cho mục đích cho thuê. Thời hạn sở hữu nhà ở của Anh cũng là sở hữu không có thời hạn. </w:t>
      </w:r>
    </w:p>
    <w:p w14:paraId="7752688C"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Chính sách nhà ở của Anh Quốc thay đổi theo sự thay đổi của Đảng cầm quyền: Đảng Lao động triển mạnh nhà ở công và cung cấp cho người dân với giá thuê rẻ, Đảng Bảo thủ áp dụng chính sách tư hữu hóa nhà ở công và đề cao vai trò của lĩnh vực tư nhân trong việc phát triển nhà ở. Có thể tóm tắt quá trình phát triển nhà ở của Anh Quốc từ 1945 đến nay như sau: </w:t>
      </w:r>
    </w:p>
    <w:p w14:paraId="2F81BD4B"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i/>
          <w:sz w:val="28"/>
          <w:szCs w:val="28"/>
        </w:rPr>
        <w:t>-</w:t>
      </w:r>
      <w:r>
        <w:rPr>
          <w:rFonts w:ascii="Times New Roman" w:hAnsi="Times New Roman" w:cs="Times New Roman"/>
          <w:b/>
          <w:i/>
          <w:sz w:val="28"/>
          <w:szCs w:val="28"/>
        </w:rPr>
        <w:t xml:space="preserve"> </w:t>
      </w:r>
      <w:r>
        <w:rPr>
          <w:rFonts w:ascii="Times New Roman" w:hAnsi="Times New Roman" w:cs="Times New Roman"/>
          <w:i/>
          <w:sz w:val="28"/>
          <w:szCs w:val="28"/>
        </w:rPr>
        <w:t xml:space="preserve">Từ 1945 - 1970: </w:t>
      </w:r>
      <w:r>
        <w:rPr>
          <w:rFonts w:ascii="Times New Roman" w:hAnsi="Times New Roman" w:cs="Times New Roman"/>
          <w:sz w:val="28"/>
          <w:szCs w:val="28"/>
        </w:rPr>
        <w:t>sau Chiến tranh thế giới thứ 2, rất nhiều nhà ở bị phá hủy và hư hại, Chính phủ Anh tập trung giải tỏa các khu nhà ổ chuột và tái phát triển các thành phố và thị trấn. Trong giai đoạn này (Đảng Lao động cầm quyền), nhà ở công phát triển mạnh, chủ yếu Nhà nước cung cấp nhà ở cho người dân với giá thuê rẻ (hơn 20 khu đô thị mới được xây dựng từ năm 1950 – 1970).</w:t>
      </w:r>
    </w:p>
    <w:p w14:paraId="1F47B898"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i/>
          <w:sz w:val="28"/>
          <w:szCs w:val="28"/>
        </w:rPr>
        <w:t>- Từ 1970 – 1979:</w:t>
      </w:r>
      <w:r>
        <w:rPr>
          <w:rFonts w:ascii="Times New Roman" w:hAnsi="Times New Roman" w:cs="Times New Roman"/>
          <w:sz w:val="28"/>
          <w:szCs w:val="28"/>
        </w:rPr>
        <w:t xml:space="preserve"> trong những năm 70, kinh tế của Anh suy thoái, Chính phủ Anh cắt giảm chi tiêu công trong đó có nhà ở công dẫn đến giá nhà ở tăng. </w:t>
      </w:r>
    </w:p>
    <w:p w14:paraId="1D816A99"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i/>
          <w:sz w:val="28"/>
          <w:szCs w:val="28"/>
        </w:rPr>
        <w:t xml:space="preserve">- Từ 1979 – 1997: </w:t>
      </w:r>
      <w:r>
        <w:rPr>
          <w:rFonts w:ascii="Times New Roman" w:hAnsi="Times New Roman" w:cs="Times New Roman"/>
          <w:sz w:val="28"/>
          <w:szCs w:val="28"/>
        </w:rPr>
        <w:t>trong giai đoạn này, Đảng Bảo thủ cầm quyền và không ủng hộ việc cung cấp nhà ở công. Do đó, Chính phủ ban hành chính sách để tư hữu hóa nhà ở công như “Quyền được mua” (từ năm 1980 – 1996 hơn 2 triệu nhà ở được bán cho người dân với giá ưu đãi, số hộ gia đình sống trong nhà ở xã hội giảm từ 40% xuống dưới 20%).  Vai trò của tư nhân trong lĩnh vực nhà ở phát triển mạnh, các chính quyền địa phương bán nhà ở công cho các Hiệp hội Nhà ở quản lý, số lượng nhà ở công giảm triệt để.</w:t>
      </w:r>
    </w:p>
    <w:p w14:paraId="08E33F16"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i/>
          <w:sz w:val="28"/>
          <w:szCs w:val="28"/>
        </w:rPr>
        <w:t xml:space="preserve">- 1997 – 2009: </w:t>
      </w:r>
      <w:r>
        <w:rPr>
          <w:rFonts w:ascii="Times New Roman" w:hAnsi="Times New Roman" w:cs="Times New Roman"/>
          <w:sz w:val="28"/>
          <w:szCs w:val="28"/>
        </w:rPr>
        <w:t xml:space="preserve">Đảng Lao động cầm quyền thay đổi chính sách nhà ở, Chính phủ chi 10 tỷ bảng Anh để nâng cấp hơn 2 triệu nhà ở xã hội đang xuống cấp. Bên cạnh đó, Chính phủ tiếp tục đầu tư mạnh nhà ở xã hội thông qua Cục Nhà ở xã hội để phân phối vốn cho các Hiệp hội nhà ở phát triển nhà ở xã hội. </w:t>
      </w:r>
    </w:p>
    <w:p w14:paraId="10F7D7C2" w14:textId="77777777" w:rsidR="00704BAE" w:rsidRDefault="008044CD" w:rsidP="00C948DB">
      <w:pPr>
        <w:pStyle w:val="NormalWeb"/>
        <w:shd w:val="clear" w:color="auto" w:fill="FFFFFF"/>
        <w:spacing w:before="80" w:beforeAutospacing="0" w:after="80" w:afterAutospacing="0"/>
        <w:ind w:firstLine="720"/>
        <w:jc w:val="both"/>
        <w:rPr>
          <w:color w:val="333333"/>
          <w:sz w:val="28"/>
          <w:szCs w:val="28"/>
        </w:rPr>
      </w:pPr>
      <w:r>
        <w:rPr>
          <w:i/>
          <w:iCs/>
          <w:color w:val="333333"/>
          <w:sz w:val="28"/>
          <w:szCs w:val="28"/>
        </w:rPr>
        <w:t xml:space="preserve">1.5. </w:t>
      </w:r>
      <w:r w:rsidR="00C948DB" w:rsidRPr="002F6F8F">
        <w:rPr>
          <w:i/>
          <w:iCs/>
          <w:color w:val="333333"/>
          <w:sz w:val="28"/>
          <w:szCs w:val="28"/>
        </w:rPr>
        <w:t>Mỹ</w:t>
      </w:r>
      <w:r w:rsidR="00C948DB">
        <w:rPr>
          <w:color w:val="333333"/>
          <w:sz w:val="28"/>
          <w:szCs w:val="28"/>
        </w:rPr>
        <w:t>:</w:t>
      </w:r>
      <w:r w:rsidR="00C948DB" w:rsidRPr="002F6F8F">
        <w:rPr>
          <w:color w:val="333333"/>
          <w:sz w:val="28"/>
          <w:szCs w:val="28"/>
        </w:rPr>
        <w:t xml:space="preserve"> </w:t>
      </w:r>
    </w:p>
    <w:p w14:paraId="0F1CD9C3" w14:textId="77777777" w:rsidR="00C948DB" w:rsidRPr="008044CD" w:rsidRDefault="00704BAE" w:rsidP="00C948DB">
      <w:pPr>
        <w:pStyle w:val="NormalWeb"/>
        <w:shd w:val="clear" w:color="auto" w:fill="FFFFFF"/>
        <w:spacing w:before="80" w:beforeAutospacing="0" w:after="80" w:afterAutospacing="0"/>
        <w:ind w:firstLine="720"/>
        <w:jc w:val="both"/>
        <w:rPr>
          <w:sz w:val="28"/>
          <w:szCs w:val="28"/>
        </w:rPr>
      </w:pPr>
      <w:r>
        <w:rPr>
          <w:sz w:val="28"/>
          <w:szCs w:val="28"/>
        </w:rPr>
        <w:t xml:space="preserve">Chế độ đất đai và nhà ở của Mỹ </w:t>
      </w:r>
      <w:r w:rsidR="00064356">
        <w:rPr>
          <w:sz w:val="28"/>
          <w:szCs w:val="28"/>
        </w:rPr>
        <w:t xml:space="preserve">chủ yếu </w:t>
      </w:r>
      <w:r>
        <w:rPr>
          <w:sz w:val="28"/>
          <w:szCs w:val="28"/>
        </w:rPr>
        <w:t xml:space="preserve">là chế độ sở hữu tư nhân. </w:t>
      </w:r>
      <w:r w:rsidR="00C948DB" w:rsidRPr="008044CD">
        <w:rPr>
          <w:sz w:val="28"/>
          <w:szCs w:val="28"/>
        </w:rPr>
        <w:t xml:space="preserve">Luật đất đai của Mỹ quy định công nhận và khuyến khích quyền sở hữu tư nhân về đất đai; các quyền này được pháp luật bảo hộ rất chặt chẽ như là một quyền cơ bản của công dân. Mặc dù công nhận quyền sở hữu tư nhân, nhưng luật đất đai của Mỹ vẫn khẳng định vai trò ngày càng lớn và có vị trí quyết định của Nhà nước trong quản lý đất đai. Các quyền định đoạt của Nhà nước bao gồm: Quyền quyết định về quy hoạch và kế hoạch sử dụng đất, quyền quy định về quy hoạch kiến trúc đô thị và công trình xây dựng; quyền quy định về mục đích sử dụng đất; quyền xử lý các tranh chấp về quyền sử dụng đất và quyền ban hành các quy định về tài chính đất; quyền thu hồi đất thuộc sở hữu tư nhân để phục vụ các lợi ích công cộng trên cơ sở đền bù công bằng cho người bị thu hồi… </w:t>
      </w:r>
    </w:p>
    <w:p w14:paraId="60DACEBA" w14:textId="77777777" w:rsidR="00704BAE" w:rsidRDefault="008044CD" w:rsidP="00C948DB">
      <w:pPr>
        <w:pStyle w:val="NormalWeb"/>
        <w:shd w:val="clear" w:color="auto" w:fill="FFFFFF"/>
        <w:spacing w:before="80" w:beforeAutospacing="0" w:after="80" w:afterAutospacing="0"/>
        <w:ind w:firstLine="720"/>
        <w:jc w:val="both"/>
        <w:rPr>
          <w:i/>
          <w:iCs/>
          <w:color w:val="333333"/>
          <w:sz w:val="28"/>
          <w:szCs w:val="28"/>
        </w:rPr>
      </w:pPr>
      <w:r>
        <w:rPr>
          <w:i/>
          <w:iCs/>
          <w:color w:val="333333"/>
          <w:sz w:val="28"/>
          <w:szCs w:val="28"/>
        </w:rPr>
        <w:t xml:space="preserve">1.6. </w:t>
      </w:r>
      <w:r w:rsidR="00C948DB" w:rsidRPr="002F6F8F">
        <w:rPr>
          <w:i/>
          <w:iCs/>
          <w:color w:val="333333"/>
          <w:sz w:val="28"/>
          <w:szCs w:val="28"/>
        </w:rPr>
        <w:t>Pháp</w:t>
      </w:r>
      <w:r w:rsidR="00C948DB">
        <w:rPr>
          <w:i/>
          <w:iCs/>
          <w:color w:val="333333"/>
          <w:sz w:val="28"/>
          <w:szCs w:val="28"/>
        </w:rPr>
        <w:t xml:space="preserve">: </w:t>
      </w:r>
    </w:p>
    <w:p w14:paraId="45399AF3" w14:textId="77777777" w:rsidR="00C948DB" w:rsidRPr="007604B6" w:rsidRDefault="00C948DB" w:rsidP="00C948DB">
      <w:pPr>
        <w:pStyle w:val="NormalWeb"/>
        <w:shd w:val="clear" w:color="auto" w:fill="FFFFFF"/>
        <w:spacing w:before="80" w:beforeAutospacing="0" w:after="80" w:afterAutospacing="0"/>
        <w:ind w:firstLine="720"/>
        <w:jc w:val="both"/>
        <w:rPr>
          <w:sz w:val="28"/>
          <w:szCs w:val="28"/>
        </w:rPr>
      </w:pPr>
      <w:r w:rsidRPr="007604B6">
        <w:rPr>
          <w:sz w:val="28"/>
          <w:szCs w:val="28"/>
        </w:rPr>
        <w:t>Ở Pháp hiện còn tồn tại song hành hai hình thức sở hữu cơ bản: sở hữu tư nhân về đất đai và sở hữu nhà nước đối với đất đai và công trình xây dựng công cộng. Tài sản công cộng bao gồm cả đất đai công cộng có đặc điểm là không được mua và bán. Trong trường hợp cần sử dụng đất cho các mục đích công cộng, Nhà nước có quyền yêu cầu chủ sở hữu đất đai tư nhân nhường quyền sở hữu thông qua chính sách bồi thường thiệt hại một cách công bằng.</w:t>
      </w:r>
    </w:p>
    <w:p w14:paraId="4DFA2CE6" w14:textId="77777777" w:rsidR="00692C69" w:rsidRDefault="0013194A">
      <w:pPr>
        <w:spacing w:after="0" w:line="360" w:lineRule="exact"/>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2. Sở hữu nhà ở của người nước ngoài </w:t>
      </w:r>
    </w:p>
    <w:p w14:paraId="11995E7B" w14:textId="77777777" w:rsidR="00692C69" w:rsidRDefault="0013194A">
      <w:pPr>
        <w:spacing w:after="0" w:line="360" w:lineRule="exact"/>
        <w:ind w:firstLine="720"/>
        <w:jc w:val="both"/>
        <w:rPr>
          <w:rFonts w:ascii="Times New Roman" w:eastAsia="Times New Roman" w:hAnsi="Times New Roman" w:cs="Times New Roman"/>
          <w:bCs/>
          <w:i/>
          <w:iCs/>
          <w:sz w:val="28"/>
          <w:szCs w:val="28"/>
          <w:lang w:val="fr-FR" w:eastAsia="zh-CN"/>
        </w:rPr>
      </w:pPr>
      <w:r>
        <w:rPr>
          <w:rFonts w:ascii="Times New Roman" w:eastAsia="Times New Roman" w:hAnsi="Times New Roman" w:cs="Times New Roman"/>
          <w:bCs/>
          <w:i/>
          <w:iCs/>
          <w:sz w:val="28"/>
          <w:szCs w:val="28"/>
          <w:lang w:val="fr-FR" w:eastAsia="zh-CN"/>
        </w:rPr>
        <w:t>2.1. Tại Singapore</w:t>
      </w:r>
    </w:p>
    <w:p w14:paraId="43CA4FE1" w14:textId="77777777" w:rsidR="00692C69" w:rsidRDefault="0013194A">
      <w:pPr>
        <w:spacing w:after="0" w:line="360" w:lineRule="exact"/>
        <w:ind w:firstLine="720"/>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Theo quy định của Chính phủ Singapore, người nước ngoài được mua và sở hữu nhiều nhà ở. Khi mua và sở hữu các căn hộ chung cư cao cấp hoặc căn hộ chung cư cao từ 6 tầng trở lên thì không phải xin phép cơ quan có thẩm quyền trước khi mua. Khi mua nhà ở riêng lẻ (nhà có đất) và căn hộ trong nhà chung cư thấp hơn 6 tầng thì người nước ngoài phải xin phép cơ quan có thẩm quyền trước khi mua. Để hạn chế người nước ngoài đầu cơ nhà ở, Singapore đã áp dụng thuế bất động sản là 4%/năm cho trường hợp mua 01 nhà để ở và 12%/năm cho trường hợp mua nhà từ thứ 2 trở lên. Trường hợp người nước ngoài mua toàn bộ các căn hộ trong 1 tòa nhà thì phải có sự đồng ý của Bộ trưởng Bộ Tư pháp.</w:t>
      </w:r>
    </w:p>
    <w:p w14:paraId="4367313F" w14:textId="77777777" w:rsidR="00692C69" w:rsidRDefault="0013194A">
      <w:pPr>
        <w:spacing w:after="0" w:line="360" w:lineRule="exact"/>
        <w:ind w:hanging="426"/>
        <w:jc w:val="both"/>
        <w:rPr>
          <w:rFonts w:ascii="Times New Roman" w:eastAsia="Times New Roman" w:hAnsi="Times New Roman" w:cs="Times New Roman"/>
          <w:bCs/>
          <w:i/>
          <w:iCs/>
          <w:sz w:val="28"/>
          <w:szCs w:val="28"/>
          <w:lang w:val="fr-FR" w:eastAsia="zh-CN"/>
        </w:rPr>
      </w:pPr>
      <w:r>
        <w:rPr>
          <w:rFonts w:ascii="Times New Roman" w:eastAsia="Times New Roman" w:hAnsi="Times New Roman" w:cs="Times New Roman"/>
          <w:b/>
          <w:sz w:val="28"/>
          <w:szCs w:val="28"/>
          <w:lang w:val="fr-FR" w:eastAsia="zh-CN"/>
        </w:rPr>
        <w:lastRenderedPageBreak/>
        <w:tab/>
      </w:r>
      <w:r>
        <w:rPr>
          <w:rFonts w:ascii="Times New Roman" w:eastAsia="Times New Roman" w:hAnsi="Times New Roman" w:cs="Times New Roman"/>
          <w:b/>
          <w:sz w:val="28"/>
          <w:szCs w:val="28"/>
          <w:lang w:val="fr-FR" w:eastAsia="zh-CN"/>
        </w:rPr>
        <w:tab/>
      </w:r>
      <w:r>
        <w:rPr>
          <w:rFonts w:ascii="Times New Roman" w:eastAsia="Times New Roman" w:hAnsi="Times New Roman" w:cs="Times New Roman"/>
          <w:bCs/>
          <w:i/>
          <w:iCs/>
          <w:sz w:val="28"/>
          <w:szCs w:val="28"/>
          <w:lang w:val="fr-FR" w:eastAsia="zh-CN"/>
        </w:rPr>
        <w:t>2.2. Tại Malaysia</w:t>
      </w:r>
    </w:p>
    <w:p w14:paraId="68D914CD" w14:textId="77777777" w:rsidR="00692C69" w:rsidRDefault="0013194A">
      <w:pPr>
        <w:spacing w:after="0" w:line="360" w:lineRule="exact"/>
        <w:ind w:firstLine="720"/>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 xml:space="preserve">Theo quy định của Chính phủ Malaysia, những đối tượng sau đây được phộp mua và sở hữu nhà ở tại </w:t>
      </w:r>
      <w:proofErr w:type="gramStart"/>
      <w:r>
        <w:rPr>
          <w:rFonts w:ascii="Times New Roman" w:eastAsia="Times New Roman" w:hAnsi="Times New Roman" w:cs="Times New Roman"/>
          <w:sz w:val="28"/>
          <w:szCs w:val="28"/>
          <w:lang w:val="fr-FR" w:eastAsia="zh-CN"/>
        </w:rPr>
        <w:t>Malaysia:</w:t>
      </w:r>
      <w:proofErr w:type="gramEnd"/>
    </w:p>
    <w:p w14:paraId="6AFFF149" w14:textId="77777777" w:rsidR="00692C69" w:rsidRDefault="0013194A">
      <w:pPr>
        <w:spacing w:after="0" w:line="360" w:lineRule="exact"/>
        <w:ind w:firstLine="720"/>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 Người không có quốc tịch Malaysia</w:t>
      </w:r>
    </w:p>
    <w:p w14:paraId="77D85E2D" w14:textId="77777777" w:rsidR="00692C69" w:rsidRDefault="0013194A">
      <w:pPr>
        <w:spacing w:after="0" w:line="360" w:lineRule="exact"/>
        <w:ind w:firstLine="720"/>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  Người cư trú dài hạn tại Malaysia</w:t>
      </w:r>
    </w:p>
    <w:p w14:paraId="42A1CA7A" w14:textId="77777777" w:rsidR="00692C69" w:rsidRDefault="0013194A">
      <w:pPr>
        <w:spacing w:after="0" w:line="360" w:lineRule="exact"/>
        <w:ind w:firstLine="720"/>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 Tổ chức nước ngoài hoạt động tại Malaysia</w:t>
      </w:r>
    </w:p>
    <w:p w14:paraId="53E173F9" w14:textId="77777777" w:rsidR="00692C69" w:rsidRDefault="0013194A">
      <w:pPr>
        <w:spacing w:after="0" w:line="360" w:lineRule="exact"/>
        <w:ind w:firstLine="720"/>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 Tổ chức liên doanh với Malaysia trong đó tổ chức nắm trên 50% quyền biểu quyết.</w:t>
      </w:r>
    </w:p>
    <w:p w14:paraId="0B2B0681" w14:textId="77777777" w:rsidR="00692C69" w:rsidRDefault="0013194A">
      <w:pPr>
        <w:spacing w:after="0" w:line="360" w:lineRule="exact"/>
        <w:ind w:firstLine="720"/>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 xml:space="preserve">Kể từ năm 1992, người nước ngoài đã được phép mua nhà ở với số lượng tối đa là 2 nhà. Các nhà ở được mua </w:t>
      </w:r>
      <w:proofErr w:type="gramStart"/>
      <w:r>
        <w:rPr>
          <w:rFonts w:ascii="Times New Roman" w:eastAsia="Times New Roman" w:hAnsi="Times New Roman" w:cs="Times New Roman"/>
          <w:sz w:val="28"/>
          <w:szCs w:val="28"/>
          <w:lang w:val="fr-FR" w:eastAsia="zh-CN"/>
        </w:rPr>
        <w:t>như:</w:t>
      </w:r>
      <w:proofErr w:type="gramEnd"/>
      <w:r>
        <w:rPr>
          <w:rFonts w:ascii="Times New Roman" w:eastAsia="Times New Roman" w:hAnsi="Times New Roman" w:cs="Times New Roman"/>
          <w:sz w:val="28"/>
          <w:szCs w:val="28"/>
          <w:lang w:val="fr-FR" w:eastAsia="zh-CN"/>
        </w:rPr>
        <w:t xml:space="preserve"> nhà riêng lẻ từ 3 tầng trở lên hoặc căn hộ cao cấp phải có giá từ 250.000 Ringit (đơn vị tiền tệ của Malaysia) trở lên. Nhà nước Malaysia hạn chế người nước ngoài mua nhà ở có giá trị thấp, nhà riêng lẻ và nhà xã hội. </w:t>
      </w:r>
      <w:r>
        <w:rPr>
          <w:rFonts w:ascii="Times New Roman" w:eastAsia="Times New Roman" w:hAnsi="Times New Roman" w:cs="Times New Roman"/>
          <w:bCs/>
          <w:sz w:val="28"/>
          <w:szCs w:val="28"/>
          <w:lang w:eastAsia="zh-CN"/>
        </w:rPr>
        <w:t xml:space="preserve">Malaysia quy định hạn chế người nước ngoài mua và sở hữu nhà ở để đầu cơ, ví dụ như quy định cá nhân nước ngoài không được sở hữu trên 02 căn hộ chung cư, nếu sở hữu từ 03 căn hộ trở lên được coi là có mục đích đầu tư, phải thành lập công ty nội địa với sở hữu Maylaysia chiếm ít nhất 50%. </w:t>
      </w:r>
      <w:r>
        <w:rPr>
          <w:rFonts w:ascii="Times New Roman" w:eastAsia="Times New Roman" w:hAnsi="Times New Roman" w:cs="Times New Roman"/>
          <w:sz w:val="28"/>
          <w:szCs w:val="28"/>
          <w:lang w:val="fr-FR" w:eastAsia="zh-CN"/>
        </w:rPr>
        <w:t xml:space="preserve">Người nước ngoài khi mua nhà ở phải được phép của Uỷ ban đầu tư nước ngoài Malaysia. </w:t>
      </w:r>
    </w:p>
    <w:p w14:paraId="0CA53DAF" w14:textId="77777777" w:rsidR="00692C69" w:rsidRDefault="0013194A">
      <w:pPr>
        <w:spacing w:after="0" w:line="360" w:lineRule="exact"/>
        <w:ind w:firstLine="720"/>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Tuy vậy, đến năm 2006 quy định này đã được bãi bỏ và tiến tới xoá bỏ hạn chế về số lượng nhà ở được sở hữu của người nước ngoài. Để quản lý người nước ngoài mua nhà ở nhằm mục đích kinh doanh, Chính phủ Malaysia đã áp dụng thuế thu nhập từ việc bán nhà ở, theo đó nếu bán lại nhà ở trong 5 năm đầu thì áp dụng mức thuế suất là 30%, còn nếu bán sau 5 năm thì mức thuế phải đóng là 5%.</w:t>
      </w:r>
    </w:p>
    <w:p w14:paraId="3A3C2C9B"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
          <w:bCs/>
          <w:sz w:val="28"/>
          <w:szCs w:val="28"/>
          <w:lang w:eastAsia="zh-CN"/>
        </w:rPr>
        <w:tab/>
      </w:r>
      <w:r>
        <w:rPr>
          <w:rFonts w:ascii="Times New Roman" w:eastAsia="Times New Roman" w:hAnsi="Times New Roman" w:cs="Times New Roman"/>
          <w:bCs/>
          <w:sz w:val="28"/>
          <w:szCs w:val="28"/>
          <w:lang w:eastAsia="zh-CN"/>
        </w:rPr>
        <w:t>Từ năm 2008 đến nay Malaysia đó nới lỏng quy định về người nước ngoài mua bất động sản, hiện nay, người nước ngoài được mua không hạn chế đất và nhà ở với điều kiện mỗi mảnh đất và nhà phải có giá trị lớn hơn 500.000 RM.</w:t>
      </w:r>
    </w:p>
    <w:p w14:paraId="3187FB78" w14:textId="77777777" w:rsidR="00692C69" w:rsidRDefault="0013194A">
      <w:pPr>
        <w:spacing w:after="0" w:line="360" w:lineRule="exact"/>
        <w:ind w:hanging="426"/>
        <w:jc w:val="both"/>
        <w:rPr>
          <w:rFonts w:ascii="Times New Roman" w:eastAsia="Times New Roman" w:hAnsi="Times New Roman" w:cs="Times New Roman"/>
          <w:bCs/>
          <w:i/>
          <w:iCs/>
          <w:sz w:val="28"/>
          <w:szCs w:val="28"/>
          <w:lang w:val="fr-FR" w:eastAsia="zh-CN"/>
        </w:rPr>
      </w:pPr>
      <w:r>
        <w:rPr>
          <w:rFonts w:ascii="Times New Roman" w:eastAsia="Times New Roman" w:hAnsi="Times New Roman" w:cs="Times New Roman"/>
          <w:b/>
          <w:sz w:val="28"/>
          <w:szCs w:val="28"/>
          <w:lang w:val="fr-FR" w:eastAsia="zh-CN"/>
        </w:rPr>
        <w:tab/>
      </w:r>
      <w:r>
        <w:rPr>
          <w:rFonts w:ascii="Times New Roman" w:eastAsia="Times New Roman" w:hAnsi="Times New Roman" w:cs="Times New Roman"/>
          <w:b/>
          <w:sz w:val="28"/>
          <w:szCs w:val="28"/>
          <w:lang w:val="fr-FR" w:eastAsia="zh-CN"/>
        </w:rPr>
        <w:tab/>
      </w:r>
      <w:r>
        <w:rPr>
          <w:rFonts w:ascii="Times New Roman" w:eastAsia="Times New Roman" w:hAnsi="Times New Roman" w:cs="Times New Roman"/>
          <w:bCs/>
          <w:i/>
          <w:iCs/>
          <w:sz w:val="28"/>
          <w:szCs w:val="28"/>
          <w:lang w:val="fr-FR" w:eastAsia="zh-CN"/>
        </w:rPr>
        <w:t>2.3. Tại Indonesia</w:t>
      </w:r>
    </w:p>
    <w:p w14:paraId="48C6F72C" w14:textId="77777777" w:rsidR="00692C69" w:rsidRDefault="0013194A">
      <w:pPr>
        <w:spacing w:after="0" w:line="360" w:lineRule="exact"/>
        <w:ind w:hanging="426"/>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ab/>
      </w:r>
      <w:r>
        <w:rPr>
          <w:rFonts w:ascii="Times New Roman" w:eastAsia="Times New Roman" w:hAnsi="Times New Roman" w:cs="Times New Roman"/>
          <w:sz w:val="28"/>
          <w:szCs w:val="28"/>
          <w:lang w:val="fr-FR" w:eastAsia="zh-CN"/>
        </w:rPr>
        <w:tab/>
        <w:t xml:space="preserve">Tính đến tháng 6/2011 pháp luật hiện hành của Indonesia vẫn quy định những người nước ngoài duy trì sự "hiện diện" ở indonesia qua các chuyến thăm thường xuyên, cư trú hoặc có lợi ích kinh doanh thì được phép thuê, mua bất động sản có thời hạn sở hữu tối đa là 70 năm. (Thời hạn ban đầu là 25 năm, sau đó gia hạn lần 2 là 20 năm, gia hạn lần 3 là 25 năm). Người nước ngoài được phép mua bất động sản tại Indonesia trong các trường hợp </w:t>
      </w:r>
      <w:proofErr w:type="gramStart"/>
      <w:r>
        <w:rPr>
          <w:rFonts w:ascii="Times New Roman" w:eastAsia="Times New Roman" w:hAnsi="Times New Roman" w:cs="Times New Roman"/>
          <w:sz w:val="28"/>
          <w:szCs w:val="28"/>
          <w:lang w:val="fr-FR" w:eastAsia="zh-CN"/>
        </w:rPr>
        <w:t>sau:</w:t>
      </w:r>
      <w:proofErr w:type="gramEnd"/>
    </w:p>
    <w:p w14:paraId="14051EE4" w14:textId="77777777" w:rsidR="00692C69" w:rsidRDefault="0013194A">
      <w:pPr>
        <w:spacing w:after="0" w:line="360" w:lineRule="exact"/>
        <w:ind w:hanging="426"/>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ab/>
      </w:r>
      <w:r>
        <w:rPr>
          <w:rFonts w:ascii="Times New Roman" w:eastAsia="Times New Roman" w:hAnsi="Times New Roman" w:cs="Times New Roman"/>
          <w:sz w:val="28"/>
          <w:szCs w:val="28"/>
          <w:lang w:val="fr-FR" w:eastAsia="zh-CN"/>
        </w:rPr>
        <w:tab/>
        <w:t xml:space="preserve">- Mua 1 mảnh đất do công dân Indonesia hoặc các tập đoàn Indonesia sở hữu với đầy đủ các quyền như mua, bán, thế chấp, thừa </w:t>
      </w:r>
      <w:proofErr w:type="gramStart"/>
      <w:r>
        <w:rPr>
          <w:rFonts w:ascii="Times New Roman" w:eastAsia="Times New Roman" w:hAnsi="Times New Roman" w:cs="Times New Roman"/>
          <w:sz w:val="28"/>
          <w:szCs w:val="28"/>
          <w:lang w:val="fr-FR" w:eastAsia="zh-CN"/>
        </w:rPr>
        <w:t>kế;</w:t>
      </w:r>
      <w:proofErr w:type="gramEnd"/>
    </w:p>
    <w:p w14:paraId="237EC462" w14:textId="77777777" w:rsidR="00692C69" w:rsidRDefault="0013194A">
      <w:pPr>
        <w:spacing w:after="0" w:line="360" w:lineRule="exact"/>
        <w:ind w:hanging="426"/>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ab/>
      </w:r>
      <w:r>
        <w:rPr>
          <w:rFonts w:ascii="Times New Roman" w:eastAsia="Times New Roman" w:hAnsi="Times New Roman" w:cs="Times New Roman"/>
          <w:sz w:val="28"/>
          <w:szCs w:val="28"/>
          <w:lang w:val="fr-FR" w:eastAsia="zh-CN"/>
        </w:rPr>
        <w:tab/>
        <w:t xml:space="preserve">- Mua 01 căn hộ chung cư và có quyền sử dụng đất trong 1 thời hạn (từ 20-30 năm) và phụ thuộc vào sự gia hạn của cơ quan quản lý đất đai quốc </w:t>
      </w:r>
      <w:proofErr w:type="gramStart"/>
      <w:r>
        <w:rPr>
          <w:rFonts w:ascii="Times New Roman" w:eastAsia="Times New Roman" w:hAnsi="Times New Roman" w:cs="Times New Roman"/>
          <w:sz w:val="28"/>
          <w:szCs w:val="28"/>
          <w:lang w:val="fr-FR" w:eastAsia="zh-CN"/>
        </w:rPr>
        <w:t>gia;</w:t>
      </w:r>
      <w:proofErr w:type="gramEnd"/>
    </w:p>
    <w:p w14:paraId="514095E1" w14:textId="77777777" w:rsidR="00692C69" w:rsidRDefault="0013194A">
      <w:pPr>
        <w:spacing w:after="0" w:line="360" w:lineRule="exact"/>
        <w:ind w:hanging="426"/>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ab/>
      </w:r>
      <w:r>
        <w:rPr>
          <w:rFonts w:ascii="Times New Roman" w:eastAsia="Times New Roman" w:hAnsi="Times New Roman" w:cs="Times New Roman"/>
          <w:sz w:val="28"/>
          <w:szCs w:val="28"/>
          <w:lang w:val="fr-FR" w:eastAsia="zh-CN"/>
        </w:rPr>
        <w:tab/>
        <w:t xml:space="preserve">- Mua nhà ở gắn với quyền sử dụng đất của chủ sở hữu đất, có thời hạn là 25 năm và có thể gia hạn thêm 1 lần 25 </w:t>
      </w:r>
      <w:proofErr w:type="gramStart"/>
      <w:r>
        <w:rPr>
          <w:rFonts w:ascii="Times New Roman" w:eastAsia="Times New Roman" w:hAnsi="Times New Roman" w:cs="Times New Roman"/>
          <w:sz w:val="28"/>
          <w:szCs w:val="28"/>
          <w:lang w:val="fr-FR" w:eastAsia="zh-CN"/>
        </w:rPr>
        <w:t>năm;</w:t>
      </w:r>
      <w:proofErr w:type="gramEnd"/>
    </w:p>
    <w:p w14:paraId="35C2AE02" w14:textId="77777777" w:rsidR="00692C69" w:rsidRDefault="0013194A">
      <w:pPr>
        <w:spacing w:after="0" w:line="360" w:lineRule="exact"/>
        <w:ind w:hanging="426"/>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lastRenderedPageBreak/>
        <w:tab/>
      </w:r>
      <w:r>
        <w:rPr>
          <w:rFonts w:ascii="Times New Roman" w:eastAsia="Times New Roman" w:hAnsi="Times New Roman" w:cs="Times New Roman"/>
          <w:sz w:val="28"/>
          <w:szCs w:val="28"/>
          <w:lang w:val="fr-FR" w:eastAsia="zh-CN"/>
        </w:rPr>
        <w:tab/>
        <w:t>- Mua nhà ở thuộc sở hữu của một người có quốc tịch Indonesia được chủ sở hữu nhà ở ủy quyền và đó ký thư ủy quyền hoàn toàn theo quy định của pháp luật.</w:t>
      </w:r>
    </w:p>
    <w:p w14:paraId="089A5154" w14:textId="77777777" w:rsidR="00692C69" w:rsidRDefault="0013194A">
      <w:pPr>
        <w:spacing w:after="0" w:line="360" w:lineRule="exact"/>
        <w:ind w:hanging="426"/>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ab/>
      </w:r>
      <w:r>
        <w:rPr>
          <w:rFonts w:ascii="Times New Roman" w:eastAsia="Times New Roman" w:hAnsi="Times New Roman" w:cs="Times New Roman"/>
          <w:sz w:val="28"/>
          <w:szCs w:val="28"/>
          <w:lang w:val="fr-FR" w:eastAsia="zh-CN"/>
        </w:rPr>
        <w:tab/>
        <w:t>Trong thời gian tới, Chính phủ Indonesia đang nghiên cứu chỉ cho phép mua và sở hữu bất động sản có giá từ 1,5 tỷ RP đến 2 tỷ RP nhằm bảo vệ phân khúc bất động sản dành cho người nghèo, người thu nhập thấp.</w:t>
      </w:r>
    </w:p>
    <w:p w14:paraId="232ECBC0" w14:textId="77777777" w:rsidR="00692C69" w:rsidRDefault="0013194A">
      <w:pPr>
        <w:spacing w:after="0" w:line="360" w:lineRule="exact"/>
        <w:ind w:hanging="426"/>
        <w:jc w:val="both"/>
        <w:rPr>
          <w:rFonts w:ascii="Times New Roman" w:eastAsia="Times New Roman" w:hAnsi="Times New Roman" w:cs="Times New Roman"/>
          <w:bCs/>
          <w:i/>
          <w:iCs/>
          <w:sz w:val="28"/>
          <w:szCs w:val="28"/>
          <w:lang w:val="fr-FR" w:eastAsia="zh-CN"/>
        </w:rPr>
      </w:pPr>
      <w:r>
        <w:rPr>
          <w:rFonts w:ascii="Times New Roman" w:eastAsia="Times New Roman" w:hAnsi="Times New Roman" w:cs="Times New Roman"/>
          <w:b/>
          <w:sz w:val="28"/>
          <w:szCs w:val="28"/>
          <w:lang w:val="fr-FR" w:eastAsia="zh-CN"/>
        </w:rPr>
        <w:tab/>
      </w:r>
      <w:r>
        <w:rPr>
          <w:rFonts w:ascii="Times New Roman" w:eastAsia="Times New Roman" w:hAnsi="Times New Roman" w:cs="Times New Roman"/>
          <w:b/>
          <w:sz w:val="28"/>
          <w:szCs w:val="28"/>
          <w:lang w:val="fr-FR" w:eastAsia="zh-CN"/>
        </w:rPr>
        <w:tab/>
      </w:r>
      <w:r>
        <w:rPr>
          <w:rFonts w:ascii="Times New Roman" w:eastAsia="Times New Roman" w:hAnsi="Times New Roman" w:cs="Times New Roman"/>
          <w:bCs/>
          <w:i/>
          <w:iCs/>
          <w:sz w:val="28"/>
          <w:szCs w:val="28"/>
          <w:lang w:val="fr-FR" w:eastAsia="zh-CN"/>
        </w:rPr>
        <w:t>2.4. Tại Philipin</w:t>
      </w:r>
    </w:p>
    <w:p w14:paraId="554B3C1F" w14:textId="77777777" w:rsidR="00692C69" w:rsidRDefault="0013194A">
      <w:pPr>
        <w:spacing w:after="0" w:line="360" w:lineRule="exact"/>
        <w:ind w:firstLine="700"/>
        <w:jc w:val="both"/>
        <w:rPr>
          <w:rFonts w:ascii="Times New Roman" w:eastAsia="Times New Roman" w:hAnsi="Times New Roman" w:cs="Times New Roman"/>
          <w:sz w:val="28"/>
          <w:szCs w:val="28"/>
          <w:lang w:val="fr-FR" w:eastAsia="zh-CN"/>
        </w:rPr>
      </w:pPr>
      <w:r>
        <w:rPr>
          <w:rFonts w:ascii="Times New Roman" w:eastAsia="Times New Roman" w:hAnsi="Times New Roman" w:cs="Times New Roman"/>
          <w:sz w:val="28"/>
          <w:szCs w:val="28"/>
          <w:lang w:val="fr-FR" w:eastAsia="zh-CN"/>
        </w:rPr>
        <w:t xml:space="preserve">Theo quy định của Chính phủ, người nước ngoài có visa đặc biệt (khi người đó từ 35 tuổi trở lên và có một khoản tiền theo quy định trong tài khoản của mình tại ngân hàng) thì được phép sở hữu nhà ở riêng lẻ và căn hộ tại Philipin. Người nước ngoài không được sở hữu đất mà chỉ được thuê với thời hạn là 50 năm và có thể gia hạn thêm 25 năm. Chính phủ Philipin áp dụng thuế thu nhập từ chuyển nhượng bất động sản là 6% giá bán. Thuế chuyển quyền bất động sản là 0,5% giá chuyển nhượng, thuế trước bạ là 0,25% giá bán. Đặc biệt, Chính phủ Philippin cho phép người nước ngoài có thể mua toàn bộ các căn hộ trong 1 tòa nhà. </w:t>
      </w:r>
    </w:p>
    <w:p w14:paraId="424E5404" w14:textId="77777777" w:rsidR="00692C69" w:rsidRDefault="0013194A">
      <w:pPr>
        <w:spacing w:after="0" w:line="360" w:lineRule="exact"/>
        <w:ind w:hanging="426"/>
        <w:jc w:val="both"/>
        <w:rPr>
          <w:rFonts w:ascii="Times New Roman" w:eastAsia="Times New Roman" w:hAnsi="Times New Roman" w:cs="Times New Roman"/>
          <w:bCs/>
          <w:i/>
          <w:iCs/>
          <w:sz w:val="28"/>
          <w:szCs w:val="28"/>
          <w:lang w:eastAsia="zh-CN"/>
        </w:rPr>
      </w:pPr>
      <w:r>
        <w:rPr>
          <w:rFonts w:ascii="Times New Roman" w:eastAsia="Times New Roman" w:hAnsi="Times New Roman" w:cs="Times New Roman"/>
          <w:b/>
          <w:sz w:val="28"/>
          <w:szCs w:val="28"/>
          <w:lang w:val="fr-FR" w:eastAsia="zh-CN"/>
        </w:rPr>
        <w:tab/>
      </w:r>
      <w:r>
        <w:rPr>
          <w:rFonts w:ascii="Times New Roman" w:eastAsia="Times New Roman" w:hAnsi="Times New Roman" w:cs="Times New Roman"/>
          <w:b/>
          <w:sz w:val="28"/>
          <w:szCs w:val="28"/>
          <w:lang w:val="fr-FR" w:eastAsia="zh-CN"/>
        </w:rPr>
        <w:tab/>
      </w:r>
      <w:r>
        <w:rPr>
          <w:rFonts w:ascii="Times New Roman" w:eastAsia="Times New Roman" w:hAnsi="Times New Roman" w:cs="Times New Roman"/>
          <w:bCs/>
          <w:i/>
          <w:iCs/>
          <w:sz w:val="28"/>
          <w:szCs w:val="28"/>
          <w:lang w:val="fr-FR" w:eastAsia="zh-CN"/>
        </w:rPr>
        <w:t>2.</w:t>
      </w:r>
      <w:r>
        <w:rPr>
          <w:rFonts w:ascii="Times New Roman" w:eastAsia="Times New Roman" w:hAnsi="Times New Roman" w:cs="Times New Roman"/>
          <w:bCs/>
          <w:i/>
          <w:iCs/>
          <w:sz w:val="28"/>
          <w:szCs w:val="28"/>
          <w:lang w:eastAsia="zh-CN"/>
        </w:rPr>
        <w:t>5. Tại Thái Lan</w:t>
      </w:r>
    </w:p>
    <w:p w14:paraId="51FA06BA" w14:textId="77777777" w:rsidR="00692C69" w:rsidRDefault="0013194A">
      <w:pPr>
        <w:spacing w:after="0" w:line="360" w:lineRule="exact"/>
        <w:ind w:firstLine="720"/>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xml:space="preserve"> Mặc dù đất đai thuộc sở hữu tư nhân nhưng Chính phủ Thái Lan chi cho phép công nhận quyền sở hữu nhà trên đất thuê đối với người nước ngoài chứ không được quyền sở hữu đất. Thời hạn thuê đất đối với người nước ngoài là 30 năm và gia hạn thêm tối đa 2 lần 30 năm (tổng cộng là 90 năm). Để được sở hữu nhà ở tại Thái Lan, người nước ngoài phải có visa kinh doanh (business visa) hoặc có visa nghỉ hưu (retirement visa) tại Thái Lan. Chính phủ Thái Lan cũng không cho phép người nước ngoài sở hữu quá 49% tổng diện tích sàn của một dự án chung cư và người mua phải chứng minh là đã mua bằng kiều hối mang đến Thái Lan.</w:t>
      </w:r>
    </w:p>
    <w:p w14:paraId="7FE0EF46" w14:textId="77777777" w:rsidR="00692C69" w:rsidRDefault="0013194A">
      <w:pPr>
        <w:tabs>
          <w:tab w:val="left" w:pos="180"/>
        </w:tabs>
        <w:spacing w:after="0" w:line="360" w:lineRule="exact"/>
        <w:jc w:val="both"/>
        <w:rPr>
          <w:rFonts w:ascii="Times New Roman" w:eastAsia="Times New Roman" w:hAnsi="Times New Roman" w:cs="Times New Roman"/>
          <w:bCs/>
          <w:i/>
          <w:iCs/>
          <w:sz w:val="28"/>
          <w:szCs w:val="28"/>
          <w:lang w:eastAsia="zh-CN"/>
        </w:rPr>
      </w:pPr>
      <w:r>
        <w:rPr>
          <w:rFonts w:ascii="Times New Roman" w:eastAsia="Times New Roman" w:hAnsi="Times New Roman" w:cs="Times New Roman"/>
          <w:b/>
          <w:sz w:val="28"/>
          <w:szCs w:val="28"/>
          <w:lang w:eastAsia="zh-CN"/>
        </w:rPr>
        <w:tab/>
      </w:r>
      <w:r>
        <w:rPr>
          <w:rFonts w:ascii="Times New Roman" w:eastAsia="Times New Roman" w:hAnsi="Times New Roman" w:cs="Times New Roman"/>
          <w:b/>
          <w:sz w:val="28"/>
          <w:szCs w:val="28"/>
          <w:lang w:eastAsia="zh-CN"/>
        </w:rPr>
        <w:tab/>
      </w:r>
      <w:r>
        <w:rPr>
          <w:rFonts w:ascii="Times New Roman" w:eastAsia="Times New Roman" w:hAnsi="Times New Roman" w:cs="Times New Roman"/>
          <w:bCs/>
          <w:i/>
          <w:iCs/>
          <w:sz w:val="28"/>
          <w:szCs w:val="28"/>
          <w:lang w:eastAsia="zh-CN"/>
        </w:rPr>
        <w:t>2.6. Tại Trung Quốc</w:t>
      </w:r>
    </w:p>
    <w:p w14:paraId="73484B3C" w14:textId="77777777" w:rsidR="00692C69" w:rsidRDefault="0013194A">
      <w:pPr>
        <w:tabs>
          <w:tab w:val="left" w:pos="180"/>
        </w:tabs>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ab/>
        <w:t>Là nước có chế độ chính trị và các quy định về chế độ sở hữu, sử dụng đất đai giống Việt Nam nhưng từ năm 1984 Chính phủ Trung quốc đã cho phép người nước ngoài cư trú tại Trung quốc được mua nhà ở. Đến năm 2006 và 2007, để hạn chế việc mua nhà ở của người nước ngoài, Chính phủ Trung Quốc đã quy định chỉ cho phép mỗi người nước ngoài được phép cư trú tại Trung Quốc từ 1 năm trở lên được mua 1 nhà thương mại để ở và nghiêm cấm việc mua nhà không phải để ở. Việc tổ chức, cá nhân nước ngoài muốn mua bất động sản với mục đích không phải để sử dụng riêng  phải thông qua công ty có vốn đầu tư nước ngoài (công ty liên doanh hoặc công ty 100%vốn nước ngoài).</w:t>
      </w:r>
    </w:p>
    <w:p w14:paraId="377B31E9"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xml:space="preserve">Năm 2010, Trung Quốc đó ban hành "Nguyên tắc quy định việc quản lý việc mua bất động sản của cá nhân và đơn vị nước ngoài" (sau đây gọi là Nguyên tắc) theo đó, mỗi cá nhân nước ngoài chỉ cá thể mua 01 căn nhà để sử dụng riêng và có cam kết bằng văn bản với cơ quan có thẩm quyền về việc ngoài căn nhà được mua thì họ không sở hữu căn nhà nào khác tại Trung Quốc. Đối với doanh </w:t>
      </w:r>
      <w:r>
        <w:rPr>
          <w:rFonts w:ascii="Times New Roman" w:eastAsia="Times New Roman" w:hAnsi="Times New Roman" w:cs="Times New Roman"/>
          <w:bCs/>
          <w:sz w:val="28"/>
          <w:szCs w:val="28"/>
          <w:lang w:eastAsia="zh-CN"/>
        </w:rPr>
        <w:lastRenderedPageBreak/>
        <w:t>nghiệp có vốn đầu tư nước ngoài với một chi nhánh hoặc văn phòng đại diện thì tại khu vực đặt trụ sở có thể mua thêm một căn nhà dành cho việc kinh doanh.</w:t>
      </w:r>
    </w:p>
    <w:p w14:paraId="0C368DE4"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Liên quan đến việc mua tài sản của tổ chức, cá nhân nước ngoài, năm 2006 Trung Quốc đó ban hành Thông tư về các vấn đề liên quan đến việc quản lý ngoại hối của thị trường bất động sản trong đó có ban hành quy trình thanh toán bằng ngoại tệ. Thông tư quy định tổ chức, cá nhân nước ngoài được thông qua các ngân hàng ngoại hối được chỉ định để thanh toán ngoại tệ. Các ngân hàng sau khi xác minh sẽ chuyển đổi ngoại tệ và chuyển khoản vào tài khoản nhân dân tệ của các nhà phát triển bất động sản. Khi đăng ký tại ngân hàng được chỉ định, tổ chức cá nhân nước ngoài phải xuất trình các tài liệu sau:</w:t>
      </w:r>
    </w:p>
    <w:p w14:paraId="23EE19EE"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Đối với Chi nhánh, văn phòng đại diện của các tổ chức nước ngoài:</w:t>
      </w:r>
    </w:p>
    <w:p w14:paraId="0065787C"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Hợp đồng mua bán hoặc hợp đồng góp vốn bất động sản;</w:t>
      </w:r>
    </w:p>
    <w:p w14:paraId="4FCBE94A"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Văn bản chấp thuận của cơ quan có thẩm quyền về việc thành lập chi nhánh, văn phòng đại diện;</w:t>
      </w:r>
    </w:p>
    <w:p w14:paraId="5CC19738"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Giấy phép do cơ quan bất động sản có thẩm quyền liên quan đến việc đăng ký và nộp hồ sơ của hợp đồng góp vốn bất động sản có xác nhận của chi nhánh hoặc văn phòng đại diện;</w:t>
      </w:r>
    </w:p>
    <w:p w14:paraId="09D337AF"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Văn bản cam kết về việc sử dụng bất động sản mua đáp ứng nguyên tắc tự sử dụng.</w:t>
      </w:r>
    </w:p>
    <w:p w14:paraId="070BDD1D"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Đối với cá nhân:</w:t>
      </w:r>
    </w:p>
    <w:p w14:paraId="6D2E5F46"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Điều kiện để cá nhân mua nhà ở là đó làm việc hoặc nghiên cứu, học tập ở Trung Quốc từ một năm trở lên;</w:t>
      </w:r>
    </w:p>
    <w:p w14:paraId="2709F40C"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Hợp đồng mua bán hoặc hợp đồng góp vốn bất động sản;</w:t>
      </w:r>
    </w:p>
    <w:p w14:paraId="43E42E53"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Hợp đồng lao động hợp lệ hoặc giấy tờ chứng nhận quá trình học tập hơn 1 năm;</w:t>
      </w:r>
    </w:p>
    <w:p w14:paraId="23D2084F"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Giấy phép do cơ quan bất động sản có thẩm quyền liên quan đến việc đăng ký và nộp hồ sơ của hợp đồng gúp vốn bất động sản có chữ ký của cá nhân nước ngoài.</w:t>
      </w:r>
    </w:p>
    <w:p w14:paraId="4B959697" w14:textId="77777777" w:rsidR="00692C69" w:rsidRDefault="0013194A">
      <w:pPr>
        <w:spacing w:after="0" w:line="360" w:lineRule="exact"/>
        <w:jc w:val="both"/>
        <w:rPr>
          <w:rFonts w:ascii="Times New Roman" w:eastAsia="Times New Roman" w:hAnsi="Times New Roman" w:cs="Times New Roman"/>
          <w:bCs/>
          <w:sz w:val="28"/>
          <w:szCs w:val="28"/>
          <w:lang w:eastAsia="zh-CN"/>
        </w:rPr>
      </w:pPr>
      <w:r>
        <w:rPr>
          <w:rFonts w:ascii="Times New Roman" w:eastAsia="Times New Roman" w:hAnsi="Times New Roman" w:cs="Times New Roman"/>
          <w:bCs/>
          <w:sz w:val="28"/>
          <w:szCs w:val="28"/>
          <w:lang w:eastAsia="zh-CN"/>
        </w:rPr>
        <w:tab/>
        <w:t xml:space="preserve">Ngoài ra, Trung Quốc cũng không cho người nước ngoài vay các khoản vay trung và dài hạn (khoản vay trên 1 năm) tại các ngân hàng ngoại thương của Trung Quốc để mua nhà ở. </w:t>
      </w:r>
      <w:r>
        <w:rPr>
          <w:rFonts w:ascii="Times New Roman" w:eastAsia="Times New Roman" w:hAnsi="Times New Roman" w:cs="Times New Roman"/>
          <w:bCs/>
          <w:sz w:val="28"/>
          <w:szCs w:val="28"/>
          <w:lang w:eastAsia="zh-CN"/>
        </w:rPr>
        <w:tab/>
        <w:t>Trung Quốc cũng chưa cho phép nhân viên ngoại giao của các nước, các tổ chức quốc tế được quyền sở hữu nhà ở hoặc bất động sản ở Trung Quốc.</w:t>
      </w:r>
    </w:p>
    <w:p w14:paraId="44BEFB2B" w14:textId="77777777" w:rsidR="00692C69" w:rsidRDefault="0013194A">
      <w:pPr>
        <w:spacing w:after="0" w:line="360" w:lineRule="exact"/>
        <w:jc w:val="both"/>
        <w:rPr>
          <w:rFonts w:ascii="Times New Roman" w:eastAsia="Times New Roman" w:hAnsi="Times New Roman" w:cs="Times New Roman"/>
          <w:bCs/>
          <w:i/>
          <w:iCs/>
          <w:sz w:val="28"/>
          <w:szCs w:val="28"/>
          <w:lang w:eastAsia="zh-CN"/>
        </w:rPr>
      </w:pPr>
      <w:r>
        <w:rPr>
          <w:rFonts w:ascii="Times New Roman" w:eastAsia="Times New Roman" w:hAnsi="Times New Roman" w:cs="Times New Roman"/>
          <w:b/>
          <w:sz w:val="28"/>
          <w:szCs w:val="28"/>
          <w:lang w:eastAsia="zh-CN"/>
        </w:rPr>
        <w:tab/>
      </w:r>
      <w:r>
        <w:rPr>
          <w:rFonts w:ascii="Times New Roman" w:eastAsia="Times New Roman" w:hAnsi="Times New Roman" w:cs="Times New Roman"/>
          <w:bCs/>
          <w:i/>
          <w:iCs/>
          <w:sz w:val="28"/>
          <w:szCs w:val="28"/>
          <w:lang w:eastAsia="zh-CN"/>
        </w:rPr>
        <w:t>2.7. Hàn Quốc</w:t>
      </w:r>
    </w:p>
    <w:p w14:paraId="6DB67211" w14:textId="77777777" w:rsidR="00692C69" w:rsidRDefault="0013194A">
      <w:pPr>
        <w:snapToGrid w:val="0"/>
        <w:spacing w:after="0" w:line="360" w:lineRule="exact"/>
        <w:ind w:left="18" w:right="18"/>
        <w:jc w:val="both"/>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ab/>
        <w:t xml:space="preserve">- </w:t>
      </w:r>
      <w:r>
        <w:rPr>
          <w:rFonts w:ascii="Times New Roman" w:eastAsia="Times New Roman" w:hAnsi="Times New Roman" w:cs="Times New Roman"/>
          <w:bCs/>
          <w:i/>
          <w:sz w:val="28"/>
          <w:szCs w:val="28"/>
          <w:lang w:eastAsia="zh-CN"/>
        </w:rPr>
        <w:t>Sơ lược:</w:t>
      </w:r>
      <w:r>
        <w:rPr>
          <w:rFonts w:ascii="Times New Roman" w:eastAsia="Times New Roman" w:hAnsi="Times New Roman" w:cs="Times New Roman"/>
          <w:sz w:val="28"/>
          <w:szCs w:val="28"/>
          <w:lang w:eastAsia="zh-CN"/>
        </w:rPr>
        <w:t xml:space="preserve"> Để thúc đẩy thị trường trầm lắng đột ngột và sự cần thiết của thị trường ngoại hối sau cuộc khủng hoảng kinh tế năm 1997, Chính phủ Hàn Quốc đó mở cửa tự do cho người nước ngoài từ năm 1998. Với sự phê duyệt của cấp có thẩm quyền, người nước ngoài có thể mua đất có mục đích sử dụng được cho phép với diện tích không hạn chế trước khi Luật sở hữu đất đối với người nước ngoài được sửa đổi. Luật sửa đổi vào năm 1998 cho phép người nước ngoài cú </w:t>
      </w:r>
      <w:r>
        <w:rPr>
          <w:rFonts w:ascii="Times New Roman" w:eastAsia="Times New Roman" w:hAnsi="Times New Roman" w:cs="Times New Roman"/>
          <w:sz w:val="28"/>
          <w:szCs w:val="28"/>
          <w:lang w:eastAsia="zh-CN"/>
        </w:rPr>
        <w:lastRenderedPageBreak/>
        <w:t xml:space="preserve">thể sở hữu đất không hạn chế về cả diện tích và mục đích sử dụng. Tuy nhiên, mua đất an ninh quốc phòng, bảo tồn văn hóa, bảo tồn tự nhiên hoặc một số khu đất cụ thể khác thì cần phải được phê duyệt trước.  </w:t>
      </w:r>
    </w:p>
    <w:p w14:paraId="0B42E107" w14:textId="77777777" w:rsidR="00692C69" w:rsidRDefault="0013194A">
      <w:pPr>
        <w:snapToGrid w:val="0"/>
        <w:spacing w:after="0" w:line="360" w:lineRule="exact"/>
        <w:ind w:left="18" w:right="1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t xml:space="preserve">Các quy định áp dụng đối với công dân cũng được áp dụng đối với người nước ngoài.  </w:t>
      </w:r>
    </w:p>
    <w:tbl>
      <w:tblPr>
        <w:tblW w:w="0" w:type="auto"/>
        <w:tblInd w:w="18" w:type="dxa"/>
        <w:tblBorders>
          <w:top w:val="single" w:sz="2" w:space="0" w:color="000000"/>
          <w:left w:val="single" w:sz="2" w:space="0" w:color="000000"/>
          <w:bottom w:val="single" w:sz="2" w:space="0" w:color="000000"/>
          <w:right w:val="single" w:sz="2" w:space="0" w:color="000000"/>
        </w:tblBorders>
        <w:tblCellMar>
          <w:top w:w="15" w:type="dxa"/>
          <w:left w:w="15" w:type="dxa"/>
          <w:bottom w:w="15" w:type="dxa"/>
          <w:right w:w="15" w:type="dxa"/>
        </w:tblCellMar>
        <w:tblLook w:val="04A0" w:firstRow="1" w:lastRow="0" w:firstColumn="1" w:lastColumn="0" w:noHBand="0" w:noVBand="1"/>
      </w:tblPr>
      <w:tblGrid>
        <w:gridCol w:w="1835"/>
        <w:gridCol w:w="3278"/>
        <w:gridCol w:w="3832"/>
      </w:tblGrid>
      <w:tr w:rsidR="00692C69" w14:paraId="04A38197" w14:textId="77777777">
        <w:trPr>
          <w:trHeight w:val="56"/>
        </w:trPr>
        <w:tc>
          <w:tcPr>
            <w:tcW w:w="1835" w:type="dxa"/>
            <w:tcBorders>
              <w:top w:val="single" w:sz="2" w:space="0" w:color="000000"/>
              <w:bottom w:val="single" w:sz="2" w:space="0" w:color="000000"/>
              <w:right w:val="single" w:sz="2" w:space="0" w:color="000000"/>
            </w:tcBorders>
            <w:tcMar>
              <w:top w:w="0" w:type="dxa"/>
              <w:left w:w="0" w:type="dxa"/>
              <w:bottom w:w="0" w:type="dxa"/>
              <w:right w:w="0" w:type="dxa"/>
            </w:tcMar>
            <w:vAlign w:val="center"/>
          </w:tcPr>
          <w:p w14:paraId="1FBF7DEC" w14:textId="77777777" w:rsidR="00692C69" w:rsidRDefault="00692C69">
            <w:pPr>
              <w:spacing w:after="0" w:line="360" w:lineRule="exact"/>
              <w:jc w:val="both"/>
              <w:rPr>
                <w:rFonts w:ascii="Times New Roman" w:eastAsia="Times New Roman" w:hAnsi="Times New Roman" w:cs="Times New Roman"/>
                <w:sz w:val="28"/>
                <w:szCs w:val="28"/>
                <w:lang w:eastAsia="zh-CN"/>
              </w:rPr>
            </w:pPr>
          </w:p>
        </w:tc>
        <w:tc>
          <w:tcPr>
            <w:tcW w:w="32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104E78F1" w14:textId="77777777" w:rsidR="00692C69" w:rsidRDefault="0013194A">
            <w:pPr>
              <w:snapToGrid w:val="0"/>
              <w:spacing w:after="0" w:line="360" w:lineRule="exact"/>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Trước sửa đổi</w:t>
            </w:r>
          </w:p>
          <w:p w14:paraId="2D825D7D" w14:textId="77777777" w:rsidR="00692C69" w:rsidRDefault="0013194A">
            <w:pPr>
              <w:snapToGrid w:val="0"/>
              <w:spacing w:after="0" w:line="360" w:lineRule="exact"/>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(Trước năm 1998)</w:t>
            </w:r>
          </w:p>
        </w:tc>
        <w:tc>
          <w:tcPr>
            <w:tcW w:w="3832"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14:paraId="7D495721" w14:textId="77777777" w:rsidR="00692C69" w:rsidRDefault="0013194A">
            <w:pPr>
              <w:snapToGrid w:val="0"/>
              <w:spacing w:after="0" w:line="360" w:lineRule="exact"/>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Sau sửa đổi</w:t>
            </w:r>
          </w:p>
          <w:p w14:paraId="01A07B36" w14:textId="77777777" w:rsidR="00692C69" w:rsidRDefault="0013194A">
            <w:pPr>
              <w:snapToGrid w:val="0"/>
              <w:spacing w:after="0" w:line="360" w:lineRule="exact"/>
              <w:jc w:val="both"/>
              <w:rPr>
                <w:rFonts w:ascii="Times New Roman" w:eastAsia="Times New Roman" w:hAnsi="Times New Roman" w:cs="Times New Roman"/>
                <w:b/>
                <w:sz w:val="28"/>
                <w:szCs w:val="28"/>
                <w:lang w:eastAsia="zh-CN"/>
              </w:rPr>
            </w:pPr>
            <w:r>
              <w:rPr>
                <w:rFonts w:ascii="Times New Roman" w:eastAsia="Times New Roman" w:hAnsi="Times New Roman" w:cs="Times New Roman"/>
                <w:b/>
                <w:sz w:val="28"/>
                <w:szCs w:val="28"/>
                <w:lang w:eastAsia="zh-CN"/>
              </w:rPr>
              <w:t>(Sau năm 1998)</w:t>
            </w:r>
          </w:p>
        </w:tc>
      </w:tr>
      <w:tr w:rsidR="00692C69" w14:paraId="625DF946" w14:textId="77777777">
        <w:trPr>
          <w:trHeight w:val="56"/>
        </w:trPr>
        <w:tc>
          <w:tcPr>
            <w:tcW w:w="1835" w:type="dxa"/>
            <w:tcBorders>
              <w:top w:val="single" w:sz="2" w:space="0" w:color="000000"/>
              <w:bottom w:val="single" w:sz="2" w:space="0" w:color="000000"/>
              <w:right w:val="single" w:sz="2" w:space="0" w:color="000000"/>
            </w:tcBorders>
            <w:tcMar>
              <w:top w:w="0" w:type="dxa"/>
              <w:left w:w="0" w:type="dxa"/>
              <w:bottom w:w="0" w:type="dxa"/>
              <w:right w:w="0" w:type="dxa"/>
            </w:tcMar>
            <w:vAlign w:val="center"/>
          </w:tcPr>
          <w:p w14:paraId="0FAF2F76"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Cá nhân người nước ngoài</w:t>
            </w:r>
          </w:p>
        </w:tc>
        <w:tc>
          <w:tcPr>
            <w:tcW w:w="32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4EBC8A48"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Cư trú hơn 5 năm với visa F-2</w:t>
            </w:r>
          </w:p>
          <w:p w14:paraId="3211C082"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Sở hữu đất cư trú có diện tích nhỏ hơn 660</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xml:space="preserve"> và đất thương mại nhở hơn 165</w:t>
            </w:r>
            <w:r>
              <w:rPr>
                <w:rFonts w:ascii="Times New Roman" w:eastAsia="MS Mincho" w:hAnsi="Times New Roman" w:cs="Times New Roman"/>
                <w:sz w:val="28"/>
                <w:szCs w:val="28"/>
                <w:lang w:eastAsia="zh-CN"/>
              </w:rPr>
              <w:t>㎡</w:t>
            </w:r>
          </w:p>
        </w:tc>
        <w:tc>
          <w:tcPr>
            <w:tcW w:w="3832"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14:paraId="6E130ACC"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Mọi cá nhân người nước ngoài kể cả không cư trú đều có thể sở hữu đất</w:t>
            </w:r>
          </w:p>
          <w:p w14:paraId="6B923090"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Không có giới hạn về diện tích và mục đích sử dụng.</w:t>
            </w:r>
          </w:p>
        </w:tc>
      </w:tr>
      <w:tr w:rsidR="00692C69" w14:paraId="16753952" w14:textId="77777777">
        <w:trPr>
          <w:trHeight w:val="56"/>
        </w:trPr>
        <w:tc>
          <w:tcPr>
            <w:tcW w:w="1835" w:type="dxa"/>
            <w:tcBorders>
              <w:top w:val="single" w:sz="2" w:space="0" w:color="000000"/>
              <w:bottom w:val="single" w:sz="2" w:space="0" w:color="000000"/>
              <w:right w:val="single" w:sz="2" w:space="0" w:color="000000"/>
            </w:tcBorders>
            <w:tcMar>
              <w:top w:w="0" w:type="dxa"/>
              <w:left w:w="0" w:type="dxa"/>
              <w:bottom w:w="0" w:type="dxa"/>
              <w:right w:w="0" w:type="dxa"/>
            </w:tcMar>
            <w:vAlign w:val="center"/>
          </w:tcPr>
          <w:p w14:paraId="4A30E119"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Công ty nước ngoài</w:t>
            </w:r>
          </w:p>
        </w:tc>
        <w:tc>
          <w:tcPr>
            <w:tcW w:w="32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03860C9"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Chỉ áp dụng đối với đất sử dụng làm nhà máy hoặc văn phòng</w:t>
            </w:r>
          </w:p>
        </w:tc>
        <w:tc>
          <w:tcPr>
            <w:tcW w:w="3832"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14:paraId="1DE5DDA8"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Không hạn chế</w:t>
            </w:r>
          </w:p>
        </w:tc>
      </w:tr>
      <w:tr w:rsidR="00692C69" w14:paraId="318002B1" w14:textId="77777777">
        <w:trPr>
          <w:trHeight w:val="56"/>
        </w:trPr>
        <w:tc>
          <w:tcPr>
            <w:tcW w:w="1835" w:type="dxa"/>
            <w:tcBorders>
              <w:top w:val="single" w:sz="2" w:space="0" w:color="000000"/>
              <w:bottom w:val="single" w:sz="2" w:space="0" w:color="000000"/>
              <w:right w:val="single" w:sz="2" w:space="0" w:color="000000"/>
            </w:tcBorders>
            <w:tcMar>
              <w:top w:w="0" w:type="dxa"/>
              <w:left w:w="0" w:type="dxa"/>
              <w:bottom w:w="0" w:type="dxa"/>
              <w:right w:w="0" w:type="dxa"/>
            </w:tcMar>
            <w:vAlign w:val="center"/>
          </w:tcPr>
          <w:p w14:paraId="2A24B69D"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Thủ tục</w:t>
            </w:r>
          </w:p>
        </w:tc>
        <w:tc>
          <w:tcPr>
            <w:tcW w:w="3278" w:type="dxa"/>
            <w:tcBorders>
              <w:top w:val="single" w:sz="2" w:space="0" w:color="000000"/>
              <w:left w:val="single" w:sz="2" w:space="0" w:color="000000"/>
              <w:bottom w:val="single" w:sz="2" w:space="0" w:color="000000"/>
              <w:right w:val="single" w:sz="2" w:space="0" w:color="000000"/>
            </w:tcBorders>
            <w:tcMar>
              <w:top w:w="0" w:type="dxa"/>
              <w:left w:w="0" w:type="dxa"/>
              <w:bottom w:w="0" w:type="dxa"/>
              <w:right w:w="0" w:type="dxa"/>
            </w:tcMar>
            <w:vAlign w:val="center"/>
          </w:tcPr>
          <w:p w14:paraId="5D7E64DF"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-Chính quyền phê duyệt trước khi ký hợp đồng</w:t>
            </w:r>
          </w:p>
        </w:tc>
        <w:tc>
          <w:tcPr>
            <w:tcW w:w="3832" w:type="dxa"/>
            <w:tcBorders>
              <w:top w:val="single" w:sz="2" w:space="0" w:color="000000"/>
              <w:left w:val="single" w:sz="2" w:space="0" w:color="000000"/>
              <w:bottom w:val="single" w:sz="2" w:space="0" w:color="000000"/>
            </w:tcBorders>
            <w:tcMar>
              <w:top w:w="0" w:type="dxa"/>
              <w:left w:w="0" w:type="dxa"/>
              <w:bottom w:w="0" w:type="dxa"/>
              <w:right w:w="0" w:type="dxa"/>
            </w:tcMar>
            <w:vAlign w:val="center"/>
          </w:tcPr>
          <w:p w14:paraId="54F0B5EC"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 Đăng ký (chấp nhận ngay) trong vòng 60 ngày sau khi ký hợp đồng</w:t>
            </w:r>
          </w:p>
        </w:tc>
      </w:tr>
    </w:tbl>
    <w:p w14:paraId="16F3FF9E"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ab/>
      </w:r>
      <w:r>
        <w:rPr>
          <w:rFonts w:ascii="Times New Roman" w:eastAsia="Times New Roman" w:hAnsi="Times New Roman" w:cs="Times New Roman"/>
          <w:bCs/>
          <w:i/>
          <w:sz w:val="28"/>
          <w:szCs w:val="28"/>
          <w:lang w:eastAsia="zh-CN"/>
        </w:rPr>
        <w:t xml:space="preserve">- Các nội dung khác liên quan đến giao dịch bất động sản: </w:t>
      </w:r>
      <w:r>
        <w:rPr>
          <w:rFonts w:ascii="Times New Roman" w:eastAsia="Times New Roman" w:hAnsi="Times New Roman" w:cs="Times New Roman"/>
          <w:sz w:val="28"/>
          <w:szCs w:val="28"/>
          <w:lang w:eastAsia="zh-CN"/>
        </w:rPr>
        <w:t xml:space="preserve">Người nước ngoài được phép kinh doanh mua bán và cho thuê đất và tòa nhà từ tháng 4/1998. Cá nhân và công ty nước ngoài được phép kinh doanh ngành phát triển đất đai (trước đây chỉ có Tập đoàn Đất đai Hàn Quốc và chính quyền tự trị được phép), thậm chí người nước ngoài được phép hành nghề môi giới bất động sản từ tháng 9/1998. </w:t>
      </w:r>
    </w:p>
    <w:p w14:paraId="29A21688" w14:textId="77777777" w:rsidR="00692C69" w:rsidRDefault="0013194A">
      <w:pPr>
        <w:snapToGrid w:val="0"/>
        <w:spacing w:after="0" w:line="360" w:lineRule="exact"/>
        <w:ind w:left="18" w:right="18"/>
        <w:jc w:val="both"/>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ab/>
      </w:r>
      <w:r>
        <w:rPr>
          <w:rFonts w:ascii="Times New Roman" w:eastAsia="Times New Roman" w:hAnsi="Times New Roman" w:cs="Times New Roman"/>
          <w:bCs/>
          <w:i/>
          <w:sz w:val="28"/>
          <w:szCs w:val="28"/>
          <w:lang w:eastAsia="zh-CN"/>
        </w:rPr>
        <w:t>- Sở hữu đất đối với người nước ngoài:</w:t>
      </w:r>
      <w:r>
        <w:rPr>
          <w:rFonts w:ascii="Times New Roman" w:eastAsia="Times New Roman" w:hAnsi="Times New Roman" w:cs="Times New Roman"/>
          <w:bCs/>
          <w:sz w:val="28"/>
          <w:szCs w:val="28"/>
          <w:lang w:eastAsia="zh-CN"/>
        </w:rPr>
        <w:t xml:space="preserve"> </w:t>
      </w:r>
      <w:r>
        <w:rPr>
          <w:rFonts w:ascii="Times New Roman" w:eastAsia="Times New Roman" w:hAnsi="Times New Roman" w:cs="Times New Roman"/>
          <w:sz w:val="28"/>
          <w:szCs w:val="28"/>
          <w:lang w:eastAsia="zh-CN"/>
        </w:rPr>
        <w:t>Có 3 luật liên quan đến việc sở hữu bất động sản đối với người nước ngoài ngoại trừ luật áp dụng chung cho cả công dân sở tại và người nước ngoài như đăng ký, giao dịch vv</w:t>
      </w:r>
      <w:proofErr w:type="gramStart"/>
      <w:r>
        <w:rPr>
          <w:rFonts w:ascii="Times New Roman" w:eastAsia="Times New Roman" w:hAnsi="Times New Roman" w:cs="Times New Roman"/>
          <w:sz w:val="28"/>
          <w:szCs w:val="28"/>
          <w:lang w:eastAsia="zh-CN"/>
        </w:rPr>
        <w:t>…</w:t>
      </w:r>
      <w:r>
        <w:rPr>
          <w:rFonts w:ascii="Times New Roman" w:eastAsia="Times New Roman" w:hAnsi="Times New Roman" w:cs="Times New Roman"/>
          <w:bCs/>
          <w:sz w:val="28"/>
          <w:szCs w:val="28"/>
          <w:lang w:eastAsia="zh-CN"/>
        </w:rPr>
        <w:t>,bao</w:t>
      </w:r>
      <w:proofErr w:type="gramEnd"/>
      <w:r>
        <w:rPr>
          <w:rFonts w:ascii="Times New Roman" w:eastAsia="Times New Roman" w:hAnsi="Times New Roman" w:cs="Times New Roman"/>
          <w:bCs/>
          <w:sz w:val="28"/>
          <w:szCs w:val="28"/>
          <w:lang w:eastAsia="zh-CN"/>
        </w:rPr>
        <w:t xml:space="preserve"> gồm:</w:t>
      </w:r>
    </w:p>
    <w:p w14:paraId="4A4739D8" w14:textId="77777777" w:rsidR="00692C69" w:rsidRDefault="0013194A">
      <w:pPr>
        <w:snapToGrid w:val="0"/>
        <w:spacing w:after="0" w:line="360" w:lineRule="exact"/>
        <w:ind w:left="18" w:right="1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t xml:space="preserve">- Luật Sở hữu đất đai đối với người nước ngoài: Những điều khoản chung liên quan đến việc sở hữu đất đai đối với người nước ngoài. </w:t>
      </w:r>
    </w:p>
    <w:p w14:paraId="2982F687" w14:textId="77777777" w:rsidR="00692C69" w:rsidRDefault="0013194A">
      <w:pPr>
        <w:snapToGrid w:val="0"/>
        <w:spacing w:after="0" w:line="360" w:lineRule="exact"/>
        <w:ind w:left="18" w:right="1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t xml:space="preserve">- Luật xúc tiến đầu tư nước ngoài: Thủ tục đầu tư, ưu đãi thuế, các ưu đói về việc mua bán đất công. </w:t>
      </w:r>
    </w:p>
    <w:p w14:paraId="20385177" w14:textId="77777777" w:rsidR="00692C69" w:rsidRDefault="0013194A">
      <w:pPr>
        <w:snapToGrid w:val="0"/>
        <w:spacing w:after="0" w:line="360" w:lineRule="exact"/>
        <w:ind w:left="18" w:right="18"/>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t>- Luật giao dịch ngoại hối: Quy định về việc chuyển ngoại tệ đối với các giao dịch bất động sản.</w:t>
      </w:r>
    </w:p>
    <w:p w14:paraId="2B9A1374"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t>Để phù hợp với mục đích sở hữu đất đai và tình trạng cư trú (cư trú tại và ngoài Hàn Quốc), Luật áp dụng có thể khác biệt phần nào.</w:t>
      </w:r>
    </w:p>
    <w:p w14:paraId="50E91F15"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ab/>
      </w:r>
      <w:r>
        <w:rPr>
          <w:rFonts w:ascii="Times New Roman" w:eastAsia="Times New Roman" w:hAnsi="Times New Roman" w:cs="Times New Roman"/>
          <w:bCs/>
          <w:i/>
          <w:sz w:val="28"/>
          <w:szCs w:val="28"/>
          <w:lang w:eastAsia="zh-CN"/>
        </w:rPr>
        <w:t>- Thủ tục sở hữu đất</w:t>
      </w:r>
      <w:r>
        <w:rPr>
          <w:rFonts w:ascii="Times New Roman" w:eastAsia="Times New Roman" w:hAnsi="Times New Roman" w:cs="Times New Roman"/>
          <w:bCs/>
          <w:sz w:val="28"/>
          <w:szCs w:val="28"/>
          <w:lang w:eastAsia="zh-CN"/>
        </w:rPr>
        <w:t>: áp dụng cho các đối tượng như sau:</w:t>
      </w:r>
    </w:p>
    <w:p w14:paraId="1A5A4F95" w14:textId="77777777" w:rsidR="00692C69" w:rsidRDefault="0013194A">
      <w:pPr>
        <w:snapToGrid w:val="0"/>
        <w:spacing w:after="0" w:line="360" w:lineRule="exact"/>
        <w:ind w:left="18" w:right="18"/>
        <w:jc w:val="both"/>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ab/>
      </w:r>
      <w:r>
        <w:rPr>
          <w:rFonts w:ascii="Times New Roman" w:eastAsia="Times New Roman" w:hAnsi="Times New Roman" w:cs="Times New Roman"/>
          <w:bCs/>
          <w:iCs/>
          <w:sz w:val="28"/>
          <w:szCs w:val="28"/>
          <w:lang w:eastAsia="zh-CN"/>
        </w:rPr>
        <w:t>+ Đối với công ty đầu tư nước ngoài:</w:t>
      </w:r>
      <w:r>
        <w:rPr>
          <w:rFonts w:ascii="Times New Roman" w:eastAsia="Times New Roman" w:hAnsi="Times New Roman" w:cs="Times New Roman"/>
          <w:bCs/>
          <w:i/>
          <w:sz w:val="28"/>
          <w:szCs w:val="28"/>
          <w:lang w:eastAsia="zh-CN"/>
        </w:rPr>
        <w:t xml:space="preserve"> </w:t>
      </w:r>
      <w:r>
        <w:rPr>
          <w:rFonts w:ascii="Times New Roman" w:eastAsia="Times New Roman" w:hAnsi="Times New Roman" w:cs="Times New Roman"/>
          <w:sz w:val="28"/>
          <w:szCs w:val="28"/>
          <w:lang w:eastAsia="zh-CN"/>
        </w:rPr>
        <w:t xml:space="preserve">Công ty địa phương thành lập theo “Luật Xúc tiến đầu tư nước ngoài” có thể sở hữu bất kỳ bất động sản nào mà công ty muốn như là tòa nhà văn phòng, đất dành cho nhà máy, nhà ở cho công nhân v.v. Khi công ty nước ngoài mở chi nhánh tại Hàn Quốc, chi nhánh có thể sở hữu bất động sản sau khi đăng ký chi nhánh.  Các Luật liên quan áp dụng: Luật Sở </w:t>
      </w:r>
      <w:r>
        <w:rPr>
          <w:rFonts w:ascii="Times New Roman" w:eastAsia="Times New Roman" w:hAnsi="Times New Roman" w:cs="Times New Roman"/>
          <w:sz w:val="28"/>
          <w:szCs w:val="28"/>
          <w:lang w:eastAsia="zh-CN"/>
        </w:rPr>
        <w:lastRenderedPageBreak/>
        <w:t xml:space="preserve">hữu bất động sản đối với người nước ngoài. Luật Xúc tiến đầu tư nước ngoài và Luật Đăng ký Bất động sản. </w:t>
      </w:r>
    </w:p>
    <w:p w14:paraId="15ABD0A3"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ab/>
      </w:r>
      <w:r>
        <w:rPr>
          <w:rFonts w:ascii="Times New Roman" w:eastAsia="Times New Roman" w:hAnsi="Times New Roman" w:cs="Times New Roman"/>
          <w:bCs/>
          <w:iCs/>
          <w:sz w:val="28"/>
          <w:szCs w:val="28"/>
          <w:lang w:eastAsia="zh-CN"/>
        </w:rPr>
        <w:t>- Đối với cá nhân người nước ngoài:</w:t>
      </w:r>
      <w:r>
        <w:rPr>
          <w:rFonts w:ascii="Times New Roman" w:eastAsia="Times New Roman" w:hAnsi="Times New Roman" w:cs="Times New Roman"/>
          <w:bCs/>
          <w:i/>
          <w:sz w:val="28"/>
          <w:szCs w:val="28"/>
          <w:lang w:eastAsia="zh-CN"/>
        </w:rPr>
        <w:t xml:space="preserve"> </w:t>
      </w:r>
      <w:r>
        <w:rPr>
          <w:rFonts w:ascii="Times New Roman" w:eastAsia="Times New Roman" w:hAnsi="Times New Roman" w:cs="Times New Roman"/>
          <w:sz w:val="28"/>
          <w:szCs w:val="28"/>
          <w:lang w:eastAsia="zh-CN"/>
        </w:rPr>
        <w:t xml:space="preserve">Người nước ngoài sinh sống tại Hàn Quốc và có chi nhánh văn phòng của công ty nước ngoài có thể sở hữu căn hộ chung cư, tòa nhà và các bất động sản khác. Bên mua cần đăng ký bất động sản trong vòng 60 ngày từ khi mua mà không cần đăng ký ngoại tệ chuyển vào Hàn Quốc. </w:t>
      </w:r>
    </w:p>
    <w:p w14:paraId="7B6FB7F5"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ab/>
      </w:r>
      <w:r>
        <w:rPr>
          <w:rFonts w:ascii="Times New Roman" w:eastAsia="Times New Roman" w:hAnsi="Times New Roman" w:cs="Times New Roman"/>
          <w:bCs/>
          <w:iCs/>
          <w:sz w:val="28"/>
          <w:szCs w:val="28"/>
          <w:lang w:eastAsia="zh-CN"/>
        </w:rPr>
        <w:t>- Đối với người nước ngoài không cư trú:</w:t>
      </w:r>
      <w:r>
        <w:rPr>
          <w:rFonts w:ascii="Times New Roman" w:eastAsia="Times New Roman" w:hAnsi="Times New Roman" w:cs="Times New Roman"/>
          <w:bCs/>
          <w:i/>
          <w:sz w:val="28"/>
          <w:szCs w:val="28"/>
          <w:lang w:eastAsia="zh-CN"/>
        </w:rPr>
        <w:t xml:space="preserve"> </w:t>
      </w:r>
      <w:r>
        <w:rPr>
          <w:rFonts w:ascii="Times New Roman" w:eastAsia="Times New Roman" w:hAnsi="Times New Roman" w:cs="Times New Roman"/>
          <w:sz w:val="28"/>
          <w:szCs w:val="28"/>
          <w:lang w:eastAsia="zh-CN"/>
        </w:rPr>
        <w:t>Người nước ngoài không cư trú và công ty nước ngoài không có chi nhánh tại địa phương cần phải nộp báo cáo sở hữu bất động sản đến ngân hàng ngoại thương theo Luật Giao dịch ngoại hối và sau đó đăng ký theo thủ tục tương tự với công dân Hàn Quốc.</w:t>
      </w:r>
    </w:p>
    <w:p w14:paraId="07F11B6F" w14:textId="77777777" w:rsidR="00692C69" w:rsidRDefault="0013194A">
      <w:pPr>
        <w:snapToGrid w:val="0"/>
        <w:spacing w:after="0" w:line="360" w:lineRule="exact"/>
        <w:ind w:left="18" w:right="18"/>
        <w:jc w:val="both"/>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ab/>
      </w:r>
      <w:r>
        <w:rPr>
          <w:rFonts w:ascii="Times New Roman" w:eastAsia="Times New Roman" w:hAnsi="Times New Roman" w:cs="Times New Roman"/>
          <w:bCs/>
          <w:iCs/>
          <w:sz w:val="28"/>
          <w:szCs w:val="28"/>
          <w:lang w:eastAsia="zh-CN"/>
        </w:rPr>
        <w:t>- Người có quốc tịch Hàn Quốc sống ở nước ngoài:</w:t>
      </w:r>
      <w:r>
        <w:rPr>
          <w:rFonts w:ascii="Times New Roman" w:eastAsia="Times New Roman" w:hAnsi="Times New Roman" w:cs="Times New Roman"/>
          <w:bCs/>
          <w:sz w:val="28"/>
          <w:szCs w:val="28"/>
          <w:lang w:eastAsia="zh-CN"/>
        </w:rPr>
        <w:t xml:space="preserve"> </w:t>
      </w:r>
      <w:r>
        <w:rPr>
          <w:rFonts w:ascii="Times New Roman" w:eastAsia="Times New Roman" w:hAnsi="Times New Roman" w:cs="Times New Roman"/>
          <w:sz w:val="28"/>
          <w:szCs w:val="28"/>
          <w:lang w:eastAsia="zh-CN"/>
        </w:rPr>
        <w:t xml:space="preserve">Người có quốc tịch Hàn Quốc nhưng sống ở nước ngoài được đối xử không khác biệt so với công dân Hàn Quốc. Họ không cần quan tâm đến các Luật áp dụng đối với người nước ngoài. </w:t>
      </w:r>
    </w:p>
    <w:p w14:paraId="47B61451"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bCs/>
          <w:sz w:val="28"/>
          <w:szCs w:val="28"/>
          <w:lang w:eastAsia="zh-CN"/>
        </w:rPr>
        <w:tab/>
        <w:t>- Tình hình sở hữu bất động sản đối với người nước ngoài hiện nay:</w:t>
      </w:r>
    </w:p>
    <w:p w14:paraId="2F363A99"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t>● Người nước ngoài sở hữu 0.2% tổng diện tích đất tính đến tháng 9/2011. Theo số liệu của Bộ Đất đai, vận tải và hàng hải, diện tích đất do người nước ngoài sở hữu là 229.290.000 m</w:t>
      </w:r>
      <w:r>
        <w:rPr>
          <w:rFonts w:ascii="Times New Roman" w:eastAsia="Times New Roman" w:hAnsi="Times New Roman" w:cs="Times New Roman"/>
          <w:sz w:val="28"/>
          <w:szCs w:val="28"/>
          <w:vertAlign w:val="superscript"/>
          <w:lang w:eastAsia="zh-CN"/>
        </w:rPr>
        <w:t>2</w:t>
      </w:r>
      <w:r>
        <w:rPr>
          <w:rFonts w:ascii="Times New Roman" w:eastAsia="Times New Roman" w:hAnsi="Times New Roman" w:cs="Times New Roman"/>
          <w:sz w:val="28"/>
          <w:szCs w:val="28"/>
          <w:lang w:eastAsia="zh-CN"/>
        </w:rPr>
        <w:t xml:space="preserve">. </w:t>
      </w:r>
    </w:p>
    <w:p w14:paraId="4E72CAE2"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t>● Công dân Hàn Quốc sống tại nước ngoài sở hữu 49,5% của 113,46 triệu</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xml:space="preserve">, công ty liên doanh với công ty địa phương là 81,92 triệu </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công ty nước ngoài 21,82 triệu</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cá nhân người nước ngoài 10,24 triệu</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xml:space="preserve">, tổ chức nước ngoài 1,85 triệu </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xml:space="preserve"> v.v. </w:t>
      </w:r>
    </w:p>
    <w:p w14:paraId="24DE2EFF"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t xml:space="preserve">● Sở hữu theo quốc gia cho thấy Mỹ sở hữu phần lớn diện tích 130,84 triệu </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xml:space="preserve">, Châu Âu 33,96 triệu </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xml:space="preserve">, Nhật Bản 19,88 triệu </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xml:space="preserve"> và Trung Quốc 4,05 triệu</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w:t>
      </w:r>
    </w:p>
    <w:p w14:paraId="7ABDBFE1"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t>● Sở hữu theo mục đích sử dụng đất chỉ ra rằng phần lớn là rừng và đất nông nghiệp phần diện tớch 129,83 triệu</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xml:space="preserve"> (56.6%,) đất nhà máy là 74,69 triệu</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đất ở là 12,15 triệu</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 và thương mại là 6,61 triệu</w:t>
      </w:r>
      <w:r>
        <w:rPr>
          <w:rFonts w:ascii="Times New Roman" w:eastAsia="MS Mincho" w:hAnsi="Times New Roman" w:cs="Times New Roman"/>
          <w:sz w:val="28"/>
          <w:szCs w:val="28"/>
          <w:lang w:eastAsia="zh-CN"/>
        </w:rPr>
        <w:t>㎡</w:t>
      </w:r>
      <w:r>
        <w:rPr>
          <w:rFonts w:ascii="Times New Roman" w:eastAsia="Times New Roman" w:hAnsi="Times New Roman" w:cs="Times New Roman"/>
          <w:sz w:val="28"/>
          <w:szCs w:val="28"/>
          <w:lang w:eastAsia="zh-CN"/>
        </w:rPr>
        <w:t>.</w:t>
      </w:r>
    </w:p>
    <w:p w14:paraId="5C77135F" w14:textId="77777777" w:rsidR="00692C69" w:rsidRDefault="0013194A">
      <w:pPr>
        <w:snapToGrid w:val="0"/>
        <w:spacing w:after="0" w:line="360" w:lineRule="exact"/>
        <w:jc w:val="both"/>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ab/>
        <w:t xml:space="preserve">● Bộ Đất đai, vận tải và hàng hải giải thích rằng việc người nước ngoài sở hữu bất động sản tăng nhanh từ tháng 6 năm 1998, khi thị trường bất động sản mở cửa, cho tới năm 2001. Từ 2002 đến 2008, tốc độ tăng chậm và giữ nguyên từ cuộc khủng hoảng kinh tế năm 2008 tại Mỹ. </w:t>
      </w:r>
    </w:p>
    <w:p w14:paraId="5F2F0E6F" w14:textId="77777777" w:rsidR="00692C69" w:rsidRDefault="0013194A">
      <w:pPr>
        <w:spacing w:after="0" w:line="360" w:lineRule="exact"/>
        <w:ind w:firstLine="720"/>
        <w:jc w:val="both"/>
        <w:rPr>
          <w:rFonts w:ascii="Times New Roman" w:hAnsi="Times New Roman" w:cs="Times New Roman"/>
          <w:b/>
          <w:bCs/>
          <w:sz w:val="28"/>
          <w:szCs w:val="28"/>
        </w:rPr>
      </w:pPr>
      <w:r>
        <w:rPr>
          <w:rFonts w:ascii="Times New Roman" w:hAnsi="Times New Roman" w:cs="Times New Roman"/>
          <w:b/>
          <w:bCs/>
          <w:sz w:val="28"/>
          <w:szCs w:val="28"/>
        </w:rPr>
        <w:t>3. Phát triển nhà ở và tái phát triển nhà ở (cải tạo, xây dựng lại nhà ở)</w:t>
      </w:r>
    </w:p>
    <w:p w14:paraId="2B4999E2"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3.1. Trung Quốc </w:t>
      </w:r>
    </w:p>
    <w:p w14:paraId="41A1399C" w14:textId="77777777" w:rsidR="00692C69" w:rsidRDefault="0013194A">
      <w:pPr>
        <w:spacing w:after="0" w:line="360" w:lineRule="exact"/>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Phát triển nhà ở: Nhà nước thực hiện giải phóng mặt bằng, sau đó đấu thầu lựa chọn chủ đầu tư, các chủ đầu tư phải trả tiền SD đất một lần cho Nhà nước. </w:t>
      </w:r>
    </w:p>
    <w:p w14:paraId="612BEC96" w14:textId="77777777" w:rsidR="00692C69" w:rsidRDefault="0013194A">
      <w:pPr>
        <w:spacing w:after="0" w:line="360" w:lineRule="exact"/>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Chỉ khi xây dựng được 25% khối lượng công trình thì chủ đầu tư mới được phép huy động vốn của người mua nhà, Nhà nước không khống chế mức huy động vốn tối đa (người mua có thể nộp tiền một lần bằng 100% giá trị căn hộ). Riêng tại Tp Thượng Hải, nếu XD nhà cao dưới 8 tầng thì chỉ được huy động vốn khi đã </w:t>
      </w:r>
      <w:r>
        <w:rPr>
          <w:rFonts w:ascii="Times New Roman" w:eastAsia="Times New Roman" w:hAnsi="Times New Roman" w:cs="Times New Roman"/>
          <w:bCs/>
          <w:sz w:val="28"/>
          <w:szCs w:val="28"/>
        </w:rPr>
        <w:lastRenderedPageBreak/>
        <w:t>xây dựng xong cả 8 tầng, còn nếu XD nhà ở cao trên 8 tầng thì khi XD xong 1/3 công trình mới được huy vốn của người mua. Trước khi huy động vốn, Công ty XD nhà ở phải xin phép UB Nhà ở và XD đô thị, nông thôn TP hoặc Cục nhà ở thuộc quận cho phép. Những người mua nhà lần đầu được Chính phủ cho vay tiền với mức tối đa bằng 80% giá trị căn hộ, 70% số tiền vay được ưu đãi về lãi suất. Việc mua bán nhà ở được thông qua mạng Website để cơ quan quản lý nhà ở kiểm soát việc nhà ở đó đã được bán hay chưa. Chủ đầu tư được quyền lựa chọn khách hàng và trực tiếp thỏa thuận với khách hàng về việc mua bán, không bắt buộc phải bán qua Sàn giao dịch BĐS.</w:t>
      </w:r>
    </w:p>
    <w:p w14:paraId="6D202B4E" w14:textId="77777777" w:rsidR="00692C69" w:rsidRDefault="0013194A">
      <w:pPr>
        <w:spacing w:after="0" w:line="360" w:lineRule="exact"/>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 Tái phát triển nhà ở: đối với nhà ở trong khu phố cũ thì thực hiện bảo tồn, nếu chủ nhà không đủ tiền thì Chính phủ sẽ hỗ trợ thêm. Đối với nhà ở tại các khu vực khác thì thực hiện tân trang lại; trường hợp thuộc diện phải phá dỡ để xây dựng lại thì phải xây dựng đồng bộ hạ tầng, phù hợp với tỷ lệ dân số và theo quy hoạch của cơ quan có thẩm quyền (nhà XD lại có thể cao hơn nhà cũ hoặc cao bằng nhà cũ), các chủ đầu tư tự bỏ vốn xây dựng sau đó bán nhà để thu hồi vốn, Nhà nước chỉ bỏ tiền làm đường và làm HTXH. Đối với nhà chung cư thì hết thời hạn sở hữu (70 năm) thì Chính phủ thực hiện thu hồi lại nhà ở để tái đầu tư phát triển. </w:t>
      </w:r>
    </w:p>
    <w:p w14:paraId="062A2FFF" w14:textId="77777777" w:rsidR="00692C69" w:rsidRDefault="0013194A">
      <w:pPr>
        <w:spacing w:after="0" w:line="360" w:lineRule="exact"/>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Việc bồi thường, tái định cư được thực hiện theo 2 phương thức: </w:t>
      </w:r>
      <w:r>
        <w:rPr>
          <w:rFonts w:ascii="Times New Roman" w:eastAsia="Times New Roman" w:hAnsi="Times New Roman" w:cs="Times New Roman"/>
          <w:bCs/>
          <w:i/>
          <w:sz w:val="28"/>
          <w:szCs w:val="28"/>
        </w:rPr>
        <w:t>bồi thường bằng tiền hoặc bằng nhà ở</w:t>
      </w:r>
      <w:r>
        <w:rPr>
          <w:rFonts w:ascii="Times New Roman" w:eastAsia="Times New Roman" w:hAnsi="Times New Roman" w:cs="Times New Roman"/>
          <w:bCs/>
          <w:sz w:val="28"/>
          <w:szCs w:val="28"/>
        </w:rPr>
        <w:t>. Tại TP Bắc Kinh, nếu diện tích tái định cư rộng hơn DT nhà cũ thì người dân phải bù thêm tiền cho Công ty XD, bình quân cứ 1m</w:t>
      </w:r>
      <w:r>
        <w:rPr>
          <w:rFonts w:ascii="Times New Roman" w:eastAsia="Times New Roman" w:hAnsi="Times New Roman" w:cs="Times New Roman"/>
          <w:bCs/>
          <w:sz w:val="28"/>
          <w:szCs w:val="28"/>
          <w:vertAlign w:val="superscript"/>
        </w:rPr>
        <w:t>2</w:t>
      </w:r>
      <w:r>
        <w:rPr>
          <w:rFonts w:ascii="Times New Roman" w:eastAsia="Times New Roman" w:hAnsi="Times New Roman" w:cs="Times New Roman"/>
          <w:bCs/>
          <w:sz w:val="28"/>
          <w:szCs w:val="28"/>
        </w:rPr>
        <w:t xml:space="preserve"> nhà ở cũ thì được tái định cư 1,7m</w:t>
      </w:r>
      <w:r>
        <w:rPr>
          <w:rFonts w:ascii="Times New Roman" w:eastAsia="Times New Roman" w:hAnsi="Times New Roman" w:cs="Times New Roman"/>
          <w:bCs/>
          <w:sz w:val="28"/>
          <w:szCs w:val="28"/>
          <w:vertAlign w:val="superscript"/>
        </w:rPr>
        <w:t>2</w:t>
      </w:r>
      <w:r>
        <w:rPr>
          <w:rFonts w:ascii="Times New Roman" w:eastAsia="Times New Roman" w:hAnsi="Times New Roman" w:cs="Times New Roman"/>
          <w:bCs/>
          <w:sz w:val="28"/>
          <w:szCs w:val="28"/>
        </w:rPr>
        <w:t xml:space="preserve"> DT nhà ở mới, việc cải tạo chung cư cũ gần đây triển khai rất chậm; ngược lại ở Thượng Hải, nếu tái định cư tại chỗ thì DT có thể nhỏ hơn DT nhà ở cũ, còn người dân chuyển đi nơi khác ở thì sẽ được bồi thường DT lớn hơn DT nhà ở cũ.</w:t>
      </w:r>
    </w:p>
    <w:p w14:paraId="1B800967"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3.2. Hàn Quốc </w:t>
      </w:r>
    </w:p>
    <w:p w14:paraId="19F57E00"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Tại Hàn Quốc, việc giải phóng mặt bằng để thực hiện hầu hết các dự án (bao gồm cả dự án nhà ở) được thực hiện bởi các tập đoàn nhà nước như là Tập đoàn Nhà đất (LH), Seoul Housing (SH),…Sau khi giải phóng mặt bằng thì các tập đoàn nhà nước tiến hành đấu giá từng khu đất trong dự án để phát triển dự án thành phần, các nhà đầu tư tư nhân sẽ tham gia đấu giá lựa chọn chủ đầu tư thực hiện dự án thành phần. Sau khi trúng đấu giá khu đất, chủ đầu tư có trách nhiệm lập đồ án thiết kế xây dựng để trình cơ quan có thẩm quyền phê duyệt. </w:t>
      </w:r>
    </w:p>
    <w:p w14:paraId="79EF87B5"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Hàn Quốc quy định về tái phát triển nhà chung cư và các công trình khác sau khi hết niên hạn sử dụng công trình, bất kỳ tòa nhà chung cư nào có vấn đề về an toàn đều có thể được phát triển lại hoặc xây dựng lại sau khi chúng trên 20 tuổi, nhưng chính quyền địa phương có thể yêu cầu sử dụng tuổi thọ công trình là 40 năm trước khi chúng được xây dựng lại. Tiêu chí đánh giá an toàn để xác định tái thiết, xây dựng lại nhà chung cư được dựa trên 04 yếu tố: môi trường dân cư, mức lão hóa của công trình và các thiết bị bên trong, </w:t>
      </w:r>
      <w:proofErr w:type="gramStart"/>
      <w:r>
        <w:rPr>
          <w:rFonts w:ascii="Times New Roman" w:hAnsi="Times New Roman" w:cs="Times New Roman"/>
          <w:sz w:val="28"/>
          <w:szCs w:val="28"/>
        </w:rPr>
        <w:t>an</w:t>
      </w:r>
      <w:proofErr w:type="gramEnd"/>
      <w:r>
        <w:rPr>
          <w:rFonts w:ascii="Times New Roman" w:hAnsi="Times New Roman" w:cs="Times New Roman"/>
          <w:sz w:val="28"/>
          <w:szCs w:val="28"/>
        </w:rPr>
        <w:t xml:space="preserve"> toàn kết cấu và phân tích </w:t>
      </w:r>
      <w:r>
        <w:rPr>
          <w:rFonts w:ascii="Times New Roman" w:hAnsi="Times New Roman" w:cs="Times New Roman"/>
          <w:sz w:val="28"/>
          <w:szCs w:val="28"/>
        </w:rPr>
        <w:lastRenderedPageBreak/>
        <w:t xml:space="preserve">chi phí. Đối với khu đất có dưới 20 chủ sở hữu thì tự thực hiện việc tái phát triển nhà ở hoặc hợp tác thực hiện với các công ty, tập đoàn nhà nước, nhà thầu xây dựng hoặc tổ chức, cá nhân đủ điều kiện. Chủ đầu tư thực hiện dự án cải tạo, xây dựng lại nhà ở được lựa chọn thông qua hình thức chỉ định trong trường hợp đủ điều kiện (chọn trong số các chủ sở hữu khu đất, các công ty có phẩn nhà nước (public – private corporations), sau khi chủ đầu tư được lựa chọn thì thực hiện đấu thầu lựa chọn nhà thầu xây dựng. </w:t>
      </w:r>
    </w:p>
    <w:p w14:paraId="7536366B"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Việc xây dựng lại tòa nhà chung cư phải được hơn 4/5 số chủ sở hữu đồng ý hay hơn 4/5 quyền biểu quyết thông qua. Các nội dung cần quyết định khi xây dựng lại bao gồm: thiết kế sơ bộ tòa nhà mới, chi phí dự tính dở bỏ tòa nhà và xây dựng, việc phân bổ chi đối với phần chi phí thực hiện và việc phân chia quyền sở hữu theo phần trong tòa nhà mới. Ban Quản trị nhà chung cư sẽ gửi thông báo đến từng chủ sở hữu trong thời hạn 02 tháng, quá thời hạn 02 tháng nếu các chủ sở hữu không trả lời thì được hiểu là chủ sở hữu đó sẽ không tham gia vào việc tái xây dựng và suất tái định cư này sẽ được bán lại theo giá thị trường. </w:t>
      </w:r>
    </w:p>
    <w:p w14:paraId="3BD296E4" w14:textId="77777777" w:rsidR="00692C69" w:rsidRDefault="0013194A">
      <w:pPr>
        <w:pStyle w:val="NormalWeb"/>
        <w:shd w:val="clear" w:color="auto" w:fill="FFFFFF"/>
        <w:spacing w:before="0" w:beforeAutospacing="0" w:after="0" w:afterAutospacing="0" w:line="360" w:lineRule="exact"/>
        <w:ind w:firstLine="720"/>
        <w:jc w:val="both"/>
        <w:rPr>
          <w:i/>
          <w:iCs/>
          <w:color w:val="000000"/>
          <w:sz w:val="28"/>
          <w:szCs w:val="28"/>
        </w:rPr>
      </w:pPr>
      <w:r>
        <w:rPr>
          <w:color w:val="000000"/>
          <w:sz w:val="28"/>
          <w:szCs w:val="28"/>
        </w:rPr>
        <w:t>- Đối với việc bồi thường khi thu hồi đất thì thực hiện theo nguyên tắc sau: </w:t>
      </w:r>
      <w:r>
        <w:rPr>
          <w:rStyle w:val="Emphasis"/>
          <w:color w:val="000000"/>
          <w:sz w:val="28"/>
          <w:szCs w:val="28"/>
        </w:rPr>
        <w:t xml:space="preserve">(1) </w:t>
      </w:r>
      <w:r>
        <w:rPr>
          <w:color w:val="000000"/>
          <w:sz w:val="28"/>
          <w:szCs w:val="28"/>
        </w:rPr>
        <w:t xml:space="preserve">việc bồi thường do chủ dự án thực hiện; (2) chủ đầu tư phải thực hiện bồi thường đầy đủ cho chủ đất và cá nhân liên quan trước khi tiến hành xây dựng các công trình công cộng; </w:t>
      </w:r>
      <w:r>
        <w:rPr>
          <w:rStyle w:val="Emphasis"/>
          <w:color w:val="000000"/>
          <w:sz w:val="28"/>
          <w:szCs w:val="28"/>
        </w:rPr>
        <w:t xml:space="preserve">(3) </w:t>
      </w:r>
      <w:r>
        <w:rPr>
          <w:color w:val="000000"/>
          <w:sz w:val="28"/>
          <w:szCs w:val="28"/>
        </w:rPr>
        <w:t xml:space="preserve">thực hiện bồi thường cho chủ đất phải bằng tiền mặt, sau đó mới bằng đất hoặc nhà ở xã hội; </w:t>
      </w:r>
      <w:r>
        <w:rPr>
          <w:rStyle w:val="Emphasis"/>
          <w:color w:val="000000"/>
          <w:sz w:val="28"/>
          <w:szCs w:val="28"/>
        </w:rPr>
        <w:t>(4)</w:t>
      </w:r>
      <w:r>
        <w:rPr>
          <w:i/>
          <w:color w:val="000000"/>
          <w:sz w:val="28"/>
          <w:szCs w:val="28"/>
        </w:rPr>
        <w:t> </w:t>
      </w:r>
      <w:r>
        <w:rPr>
          <w:color w:val="000000"/>
          <w:sz w:val="28"/>
          <w:szCs w:val="28"/>
        </w:rPr>
        <w:t>thực hiện bồi thường áp dụng cho từng cá nhân.</w:t>
      </w:r>
    </w:p>
    <w:p w14:paraId="18F37196"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t>Về thời điểm xác định giá bồi thường, đối với trường hợp thu hồi đất thông qua hình thức tham vấn thì thời điểm xác định giá bồi thường là thời điểm các bên đạt được thỏa thuận đồng thuận về phương án bồi thường. Đối với trường hợp thu hồi đất thông qua hình thức cưỡng chế thì thời điểm xác định giá bồi thường là thời điểm cơ quan nhà nước có thẩm quyền ra quyết định cưỡng chế. Việc xác định giá bồi thường không phải do chủ dự án thực hiện mà giao cho ít nhất hai cơ quan định giá độc lập (hoạt động theo hình thức doanh nghiệp hoặc công ty cổ phần) thực hiện. Trường hợp chủ đất yêu cầu xác định lại giá bồi thường thì chủ dự án lựa chọn thêm một tổ chức tư vấn định giá đất thứ ba. Nếu giá trị định giá cao nhất và thấp nhất chênh lệch 10% hoặc nhiều hơn, sẽ phải có chuyên gia định giá khác thực hiện tiếp việc định giá, và từ đó, mức bồi thường sẽ được tính toán lại. Giá đất được lựa chọn làm căn cứ xác định bồi thường là giá trung bình cộng của kết quả định giá của hai hoặc ba cơ quan dịch vụ tư vấn về giá đất độc lập được chủ thực hiện dự án thuê định giá.</w:t>
      </w:r>
    </w:p>
    <w:p w14:paraId="4E594947"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3.3. Nhật Bản </w:t>
      </w:r>
    </w:p>
    <w:p w14:paraId="525D1510"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Chính phủ Nhật Bản đã nhận thức từ rất sớm vấn đề “an cư lạc nghiệp” của dân chúng ngay sau khi Chiến tranh thế giới thứ hai kết thúc, nhất là vấn đề nhà ở đã được chính phủ Nhật đưa lên thành vấn đề chiến lược đầu tiên cần giải quyết. Ngay sau khi kết thúc Chiến tranh thế giới thứ hai, Tokyo đã kiểm điểm lại chính </w:t>
      </w:r>
      <w:r>
        <w:rPr>
          <w:rFonts w:ascii="Times New Roman" w:hAnsi="Times New Roman" w:cs="Times New Roman"/>
          <w:sz w:val="28"/>
          <w:szCs w:val="28"/>
        </w:rPr>
        <w:lastRenderedPageBreak/>
        <w:t>sách nhà đất để vạch ra chiến lược phát triển đúng đắn, sửa chữa lại những khiếm khuyết về chính sách nhà đất quy định trước đó. Cụ thể là:</w:t>
      </w:r>
    </w:p>
    <w:p w14:paraId="57FDF2B5"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i/>
          <w:sz w:val="28"/>
          <w:szCs w:val="28"/>
        </w:rPr>
        <w:t>- Đầu tiên,</w:t>
      </w:r>
      <w:r>
        <w:rPr>
          <w:rFonts w:ascii="Times New Roman" w:hAnsi="Times New Roman" w:cs="Times New Roman"/>
          <w:sz w:val="28"/>
          <w:szCs w:val="28"/>
        </w:rPr>
        <w:t xml:space="preserve"> về mặt pháp lý, Điều 25 trong Hiến pháp mới công bố năm 1947 của Nhật Bản có quy định: “Mọi người dân Nhật Bản đều có quyền được hưởng quyền sinh sống tối thiểu nhất là lành mạnh và văn minh”. Theo quy định này, chính phủ khởi động chính sách nhà đất dựa vào ba trụ cột chính là: (i) Xây dựng các “khu chung cư” do nhà nước phụ trách mà cao điểm từ năm 1951 để giải quyết nhà ở cho dân; (ii) Lập “Quỹ nhà đất” năm 1950 của Chính phủ cho dân chúng vay tiền mua nhà; (iii) Lập các “Nghiệp đoàn xây dựng nhà ở” năm 1955 để huy động tiền vốn của dân chúng và các quỹ của doanh nghiệp vào xây dựng nhà ở. Với ba trụ cột này, Nhật Bản đã cơ bản giải quyết được tình trạng thiếu 4,6 triệu căn hộ tồn đọng lại từ năm 1946.</w:t>
      </w:r>
    </w:p>
    <w:p w14:paraId="4454F92C"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i/>
          <w:sz w:val="28"/>
          <w:szCs w:val="28"/>
        </w:rPr>
        <w:t xml:space="preserve">- Thứ hai </w:t>
      </w:r>
      <w:r>
        <w:rPr>
          <w:rFonts w:ascii="Times New Roman" w:hAnsi="Times New Roman" w:cs="Times New Roman"/>
          <w:sz w:val="28"/>
          <w:szCs w:val="28"/>
        </w:rPr>
        <w:t>là quy định đối tượng được ưu tiên mua và phân nhà. Ưu tiên hàng đầu của Chính phủ Nhật Bản là xây nhà phục vụ cho tầng lớp có thu nhập thấp. Xuất phát từ tình hình thực tế sau Chiến tranh có nhiều dân nghèo vùng nông thôn ra thành thị tìm việc làm, vì vậy Chính phủ ưu tiên dành nhà ở cho họ. Ngoài ra Chính phủ còn khuyến khích các doanh nghiệp, công đoàn dành ưu đãi cho tầng lớp dân nghèo này. Không riêng tần lớp nghèo mà tầng lớp trung lưu và trí thức cũng được nhà nước quan tâm. Bởi vì, đây là tầng lớp thúc đẩy kinh tế tăng trưởng và là tầng lớp nộp thuế nhiều nhất cho nhà nước, nên nhà nước, doanh nghiệp, công đoàn cũng có chính sách ưu đãi nhất định đối với tầng lớp này.</w:t>
      </w:r>
    </w:p>
    <w:p w14:paraId="0AE7EAA6"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i/>
          <w:sz w:val="28"/>
          <w:szCs w:val="28"/>
        </w:rPr>
        <w:t>- Thứ ba</w:t>
      </w:r>
      <w:r>
        <w:rPr>
          <w:rFonts w:ascii="Times New Roman" w:hAnsi="Times New Roman" w:cs="Times New Roman"/>
          <w:sz w:val="28"/>
          <w:szCs w:val="28"/>
        </w:rPr>
        <w:t xml:space="preserve"> là chế độ cho vay mua nhà. “Quỹ nhà đất” lập năm 1950 trực tiếp cho người cần mua nhà vay với lãi suất ưu đãi cố định trong thời gian dài. Từ năm 1950 tới năm 2006, đã có tới trên 19 triệu hộ gia đình vay tiền mua hoặc xây nhà. Năm 2010 khoản kết dư cho vay mua, thuê nhà tới 30.000 tỉ Yên, chiếm 30% tổng quỹ nhà đất. Kể từ năm 1970 tới nay, Chính phủ Nhật Bản đã có chính sách khuyến khích doanh nghiệp tư nhân đầu tư vào xây dựng nhà ở cho dân chúng. Hiện nay số nhà ở do doanh nghiệp tư nhân xây dựng chiếm tới 70% tổng số căn hộ được xây dựng. Tuy nhiên, tình hình kinh tế ở Nhật Bản gặp khó khăn, nên kể từ năm 1993, Chính phủ ban hành “Chính sách thuê nhà ưu đãi” song song với việc mua nhà, chủ yếu giải quyết tình trạng khó khăn nhà ở cho công chức và các cặp vợ chồng mới cưới. Theo chính sách này, người thuê nhà chỉ trả tiền thuê chiếm khoảng 1/8 lương tháng, còn lại do công ty và doanh nghiệp chi trả. Bởi vậy, xu thế nhiều người chuyển từ mua nhà sang thuê nhà ngày càng nhiều. Do tài chính khó khăn, nên từ tháng 4/2007 chính phủ Nhật Bản đã tiến hành cải cách “Quỹ nhà đất” thành “Cơ quan hỗ trợ tiền nhà đất” cho phù hợp với tình hình thị trường biến động. Mục đích chủ yếu là đưa việc mua thuê nhà gần với giá thị trường hơn, đồng thời huy động được nhiều nguồn vốn cho Quỹ từ thị trường và trong dân chúng.</w:t>
      </w:r>
    </w:p>
    <w:p w14:paraId="7E2197BA"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lastRenderedPageBreak/>
        <w:tab/>
      </w:r>
      <w:r>
        <w:rPr>
          <w:rFonts w:ascii="Times New Roman" w:hAnsi="Times New Roman" w:cs="Times New Roman"/>
          <w:i/>
          <w:sz w:val="28"/>
          <w:szCs w:val="28"/>
        </w:rPr>
        <w:t>- Thứ tư</w:t>
      </w:r>
      <w:r>
        <w:rPr>
          <w:rFonts w:ascii="Times New Roman" w:hAnsi="Times New Roman" w:cs="Times New Roman"/>
          <w:sz w:val="28"/>
          <w:szCs w:val="28"/>
        </w:rPr>
        <w:t xml:space="preserve"> là vấn đề chất lượng nhà ở. Một thực tế ở Nhật Bản là động đất thường xuyên xảy ra, nên ưu tiên hàng đầu là chất lượng. Đối với các nhà đầu tư, kinh doanh xây dựng nhà ở, thực sự lãi suất không cao bằng đầu tư vào các lĩnh vực khác, nhưng không vì thế mà lơ là về chất lượng. Nhật Bản cho rằng công trình xây dựng chất lượng kém chẳng những nhanh chóng xuống cấp mà việc bảo dưỡng cũng khó khăn, nên thực tế là giá thành rất cao chứ không rẻ như các nhà đầu tư tính toán.</w:t>
      </w:r>
    </w:p>
    <w:p w14:paraId="69C6A7F7"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r>
      <w:r>
        <w:rPr>
          <w:rFonts w:ascii="Times New Roman" w:hAnsi="Times New Roman" w:cs="Times New Roman"/>
          <w:i/>
          <w:sz w:val="28"/>
          <w:szCs w:val="28"/>
        </w:rPr>
        <w:t>- Thứ nă</w:t>
      </w:r>
      <w:r>
        <w:rPr>
          <w:rFonts w:ascii="Times New Roman" w:hAnsi="Times New Roman" w:cs="Times New Roman"/>
          <w:sz w:val="28"/>
          <w:szCs w:val="28"/>
        </w:rPr>
        <w:t>m là vấn đề phân phối công bằng. Đây cũng là vấn đề quan trọng giảm thiểu những tiêu cực nảy sinh trong dân chúng và xã hội. Để thực hiện công bằng, thì những người xin mua hoặc thuê nhà phải xuất trình “Giấy chứng nhận thuế cá nhân” cho Sở thuế vụ thành phố. Căn cứ vào mức đóng thuế này, chính phủ sẽ có phân phối thích hợp cho mọi người. Ngoài ra, việc phân phối vào ở căn hộ nào sẽ do Chính quyền đứng ra tổ chức “bốc thăm” công khai. Nếu như ba lần đầu người dân chưa bốc thăm được thì cơ hội sẽ tăng lên hai lần, tức người đó có 6 cơ hội tiếp để bốc thăm, nên thế nào cũng được căn hộ vừa ý. Bởi vậy tình trạng lừa đảo, mua chui, bán chui nhà ở dường như không xảy ra ở Nhật Bản.</w:t>
      </w:r>
    </w:p>
    <w:p w14:paraId="05269011"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t>Như vậy, chính sách nhà ở tại Nhật Bản được đánh giá là thành công do “Bài toán nhà ở” của Nhật Bản đã được coi trọng từ lâu và được coi là “vấn đề chiến lược”, đồng thời luôn có cải cách cho phù hợp với tình hình thực tế thị trường, xã hội và thu nhập của người dân, nên những “cơn sốt nhà đất”, “điểm nóng xã hội nhà đất” dường như không xảy ra ở Nhật Bản.</w:t>
      </w:r>
    </w:p>
    <w:p w14:paraId="33718DC8" w14:textId="77777777" w:rsidR="00692C69" w:rsidRDefault="0013194A">
      <w:pPr>
        <w:spacing w:after="0" w:line="360" w:lineRule="exact"/>
        <w:jc w:val="both"/>
        <w:rPr>
          <w:rFonts w:ascii="Times New Roman" w:hAnsi="Times New Roman" w:cs="Times New Roman"/>
          <w:b/>
          <w:bCs/>
          <w:sz w:val="28"/>
          <w:szCs w:val="28"/>
        </w:rPr>
      </w:pPr>
      <w:r>
        <w:rPr>
          <w:rFonts w:ascii="Times New Roman" w:hAnsi="Times New Roman" w:cs="Times New Roman"/>
          <w:sz w:val="28"/>
          <w:szCs w:val="28"/>
        </w:rPr>
        <w:tab/>
      </w:r>
      <w:r>
        <w:rPr>
          <w:rFonts w:ascii="Times New Roman" w:hAnsi="Times New Roman" w:cs="Times New Roman"/>
          <w:b/>
          <w:bCs/>
          <w:sz w:val="28"/>
          <w:szCs w:val="28"/>
        </w:rPr>
        <w:t xml:space="preserve">4. Chính sách tái định cư </w:t>
      </w:r>
    </w:p>
    <w:p w14:paraId="2658EE93"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rStyle w:val="Emphasis"/>
          <w:bCs/>
          <w:color w:val="000000"/>
          <w:sz w:val="28"/>
          <w:szCs w:val="28"/>
        </w:rPr>
        <w:t>4.1. Trung Quốc,</w:t>
      </w:r>
      <w:r>
        <w:rPr>
          <w:rStyle w:val="Emphasis"/>
          <w:color w:val="000000"/>
          <w:sz w:val="28"/>
          <w:szCs w:val="28"/>
        </w:rPr>
        <w:t> </w:t>
      </w:r>
      <w:r>
        <w:rPr>
          <w:color w:val="000000"/>
          <w:sz w:val="28"/>
          <w:szCs w:val="28"/>
        </w:rPr>
        <w:t>nguyên tắc bồi thường khi thu hồi đất được xác định là phải bảo đảm cho người bị thu hồi đất có chỗ ở bằng hoặc cao hơn so với nơi ở cũ. Bồi thường khi thu hồi đất không căn cứ giá thị trường, mà phụ thuộc vào mục đích sử dụng ban đầu của khu đất bị thu hồi.</w:t>
      </w:r>
    </w:p>
    <w:p w14:paraId="3CC54ABB"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t xml:space="preserve">Việc giải quyết vấn đề nhà được thực hiện thông qua hình thức trả tiền bồi thường về nhà ở. Số tiền này được xác định bao gồm giá cả xây dựng lại nhà ở, sự chênh lệch giữa giá xây dựng lại nhà mới và nhà cũ; giá đất tiêu chuẩn; trợ cấp về giá cả. Trong đó, giá xây lại nhà ở mới được xác định là khoản chênh lệch giữa giá trị còn lại của nhà cũ và chi phí xây dựng lại nhà mới. Giá đất tiêu chuẩn do nhà nước xác định căn cứ theo giá đất của những nhà thương phẩm trong cùng một khu vực, việc trợ cấp về giá cả sẽ do chính quyền xác định. Khoản tiền bồi thường này được tính theo mét vuông, cộng lại và nhân với diện tích xây dựng của nhà ở. </w:t>
      </w:r>
    </w:p>
    <w:p w14:paraId="77D0ACCA"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t>Những đối tượng trong diện giải tỏa mặt bằng được hưởng chính sách mua nhà ưu đãi của nhà nước. Trường hợp nhà nước có diện tích nhà ở tái định cư thì nếu người được bồi thường có nhu cầu sẽ được phân nhà với diện tích tương đương số tiền họ đã được nhận bồi thường.</w:t>
      </w:r>
    </w:p>
    <w:p w14:paraId="1B81BED1"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lastRenderedPageBreak/>
        <w:t>Tại Thượng Hải, có bốn loại hình nhà ở xã hội là nhà ở giá rẻ, nhà ở cho thuê chi phí thấp, nhà ở cho thuê công cộng, nhà ở di dời và tái định cư. Theo “Quy định quản lý nhà ở di dời và tái định cư Thượng Hải”, nhà ở tái định cư Thượng Hải có diện tích xây dựng là 70 m</w:t>
      </w:r>
      <w:r>
        <w:rPr>
          <w:color w:val="000000"/>
          <w:sz w:val="28"/>
          <w:szCs w:val="28"/>
          <w:vertAlign w:val="superscript"/>
        </w:rPr>
        <w:t>2</w:t>
      </w:r>
      <w:r>
        <w:rPr>
          <w:color w:val="000000"/>
          <w:sz w:val="28"/>
          <w:szCs w:val="28"/>
        </w:rPr>
        <w:t xml:space="preserve"> với cấu trúc chủ yếu 2 phòng ngủ 1 phòng khách. Việc di dời và tái định cư nhà ở được đảm bảo trong thời hạn 3 năm, không được chuyển nhượng, thế chấp. Nhà ở tái định cư Thượng Hải phân chia thành nhà ở di dời và tái định trong đô thị, và tái định cư nhà ở cho nông dân, đa phần nằm ở khu vực ven đô. Khi có chính sách di dời, nhà ở tái định cư có thể được chuyển đổi thành nhà ở cho thuê chi phí thấp, nhà ở giá rẻ hoặc nhà ở cho thuê công cộng.</w:t>
      </w:r>
    </w:p>
    <w:p w14:paraId="5B820E19" w14:textId="77777777" w:rsidR="00692C69" w:rsidRDefault="0013194A">
      <w:pPr>
        <w:pStyle w:val="NormalWeb"/>
        <w:shd w:val="clear" w:color="auto" w:fill="FFFFFF"/>
        <w:spacing w:before="0" w:beforeAutospacing="0" w:after="0" w:afterAutospacing="0" w:line="360" w:lineRule="exact"/>
        <w:ind w:firstLine="720"/>
        <w:jc w:val="both"/>
        <w:rPr>
          <w:rStyle w:val="Emphasis"/>
          <w:color w:val="000000"/>
          <w:sz w:val="28"/>
          <w:szCs w:val="28"/>
        </w:rPr>
      </w:pPr>
      <w:r>
        <w:rPr>
          <w:rStyle w:val="Emphasis"/>
          <w:bCs/>
          <w:color w:val="000000"/>
          <w:sz w:val="28"/>
          <w:szCs w:val="28"/>
        </w:rPr>
        <w:t>4.2. Hàn Quốc,</w:t>
      </w:r>
      <w:r>
        <w:rPr>
          <w:rStyle w:val="Emphasis"/>
          <w:color w:val="000000"/>
          <w:sz w:val="28"/>
          <w:szCs w:val="28"/>
        </w:rPr>
        <w:t> </w:t>
      </w:r>
      <w:r>
        <w:rPr>
          <w:color w:val="000000"/>
          <w:sz w:val="28"/>
          <w:szCs w:val="28"/>
        </w:rPr>
        <w:t>Nhà nước bồi thường khi thu hồi đất trên cơ sở các nguyên tắc sau: </w:t>
      </w:r>
    </w:p>
    <w:p w14:paraId="2763BB70"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rStyle w:val="Emphasis"/>
          <w:color w:val="000000"/>
          <w:sz w:val="28"/>
          <w:szCs w:val="28"/>
        </w:rPr>
        <w:t xml:space="preserve">(1) </w:t>
      </w:r>
      <w:r>
        <w:rPr>
          <w:color w:val="000000"/>
          <w:sz w:val="28"/>
          <w:szCs w:val="28"/>
        </w:rPr>
        <w:t>việc bồi thường do chủ dự án thực hiện. </w:t>
      </w:r>
    </w:p>
    <w:p w14:paraId="381A6FCF" w14:textId="77777777" w:rsidR="00692C69" w:rsidRDefault="0013194A">
      <w:pPr>
        <w:pStyle w:val="NormalWeb"/>
        <w:shd w:val="clear" w:color="auto" w:fill="FFFFFF"/>
        <w:spacing w:before="0" w:beforeAutospacing="0" w:after="0" w:afterAutospacing="0" w:line="360" w:lineRule="exact"/>
        <w:ind w:firstLine="720"/>
        <w:jc w:val="both"/>
        <w:rPr>
          <w:rStyle w:val="Emphasis"/>
          <w:color w:val="000000"/>
          <w:sz w:val="28"/>
          <w:szCs w:val="28"/>
        </w:rPr>
      </w:pPr>
      <w:r>
        <w:rPr>
          <w:color w:val="000000"/>
          <w:sz w:val="28"/>
          <w:szCs w:val="28"/>
        </w:rPr>
        <w:t>(2) chủ đầu tư phải thực hiện bồi thường đầy đủ cho chủ đất và cá nhân liên quan trước khi tiến hành xây dựng các công trình công cộng. </w:t>
      </w:r>
    </w:p>
    <w:p w14:paraId="694033E9"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rStyle w:val="Emphasis"/>
          <w:color w:val="000000"/>
          <w:sz w:val="28"/>
          <w:szCs w:val="28"/>
        </w:rPr>
        <w:t xml:space="preserve">(3) </w:t>
      </w:r>
      <w:r>
        <w:rPr>
          <w:color w:val="000000"/>
          <w:sz w:val="28"/>
          <w:szCs w:val="28"/>
        </w:rPr>
        <w:t>thực hiện bồi thường cho chủ đất phải bằng tiền mặt, sau đó mới bằng đất hoặc nhà ở xã hội. </w:t>
      </w:r>
    </w:p>
    <w:p w14:paraId="5F145812"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rStyle w:val="Emphasis"/>
          <w:color w:val="000000"/>
          <w:sz w:val="28"/>
          <w:szCs w:val="28"/>
        </w:rPr>
        <w:t>(4)</w:t>
      </w:r>
      <w:r>
        <w:rPr>
          <w:i/>
          <w:color w:val="000000"/>
          <w:sz w:val="28"/>
          <w:szCs w:val="28"/>
        </w:rPr>
        <w:t> </w:t>
      </w:r>
      <w:r>
        <w:rPr>
          <w:color w:val="000000"/>
          <w:sz w:val="28"/>
          <w:szCs w:val="28"/>
        </w:rPr>
        <w:t>thực hiện bồi thường áp dụng cho từng cá nhân.</w:t>
      </w:r>
    </w:p>
    <w:p w14:paraId="2A838FFE"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t>Về thời điểm xác định giá bồi thường, đối với trường hợp thu hồi đất thông qua hình thức tham vấn thì thời điểm xác định giá bồi thường là thời điểm các bên đạt được thỏa thuận đồng thuận về phương án bồi thường. Đối với trường hợp thu hồi đất thông qua hình thức cưỡng chế thì thời điểm xác định giá bồi thường là thời điểm cơ quan nhà nước có thẩm quyền ra quyết định cưỡng chế.</w:t>
      </w:r>
    </w:p>
    <w:p w14:paraId="1437DADE"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t>Việc xác định giá bồi thường không phải do chủ dự án thực hiện mà giao cho ít nhất hai cơ quan định giá độc lập (hoạt động theo hình thức doanh nghiệp hoặc công ty cổ phần) thực hiện. Trường hợp chủ đất yêu cầu xác định lại giá bồi thường thì chủ dự án lựa chọn thêm một tổ chức tư vấn định giá đất thứ ba. Nếu giá trị định giá cao nhất và thấp nhất chênh lệch 10% hoặc nhiều hơn, sẽ phải có chuyên gia định giá khác thực hiện tiếp việc định giá, và từ đó, mức bồi thường sẽ được tính toán lại. Giá đất được lựa chọn làm căn cứ xác định bồi thường là giá trung bình cộng của kết quả định giá của hai hoặc ba cơ quan dịch vụ tư vấn về giá đất độc lập được chủ thực hiện dự án thuê định giá.</w:t>
      </w:r>
    </w:p>
    <w:p w14:paraId="3DD43716"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rStyle w:val="Emphasis"/>
          <w:bCs/>
          <w:color w:val="000000"/>
          <w:sz w:val="28"/>
          <w:szCs w:val="28"/>
        </w:rPr>
        <w:t>4.3. Singapore</w:t>
      </w:r>
      <w:r>
        <w:rPr>
          <w:bCs/>
          <w:iCs/>
        </w:rPr>
        <w:t>,</w:t>
      </w:r>
      <w:r>
        <w:rPr>
          <w:color w:val="000000"/>
          <w:sz w:val="28"/>
          <w:szCs w:val="28"/>
        </w:rPr>
        <w:t xml:space="preserve"> chính sách tái định cư gắn liền với bố trí nhà ở công – loại nhà do nhà nước (Cục Phát triển Nhà - HDB) xây dựng và cung cấp giá rẻ kèm theo một số điều kiện. </w:t>
      </w:r>
    </w:p>
    <w:p w14:paraId="115228ED"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t xml:space="preserve">Cng tác tái định cư gồm 3 bước: </w:t>
      </w:r>
    </w:p>
    <w:p w14:paraId="17F8CF16"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t>(1) HDB tiến hành điều tra xã hội học kĩ lưỡng về hộ gia đình trước khi triển khai việc tái định cư, trong đó lưu ý các chi tiết về số thành viên trong gia đình, kể cả con cái, nguồn thu nhập. Việc điều tra tỉ mỉ, thận trọng sẽ tạo bằng chứng chắc chắn cho việc hỗ trợ tái định cư chính xác, công bằng.</w:t>
      </w:r>
    </w:p>
    <w:p w14:paraId="3F2D414E"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lastRenderedPageBreak/>
        <w:t>(2) Xác định điều kiện tái định cư. Điều kiện để được tái định cư tại các căn hộ do HDB cung cấp là được cơ quan quản lý đất Singapore (SLA) bảo lãnh và làm thủ tục giới thiệu. Chính sách cung cấp nhà ở công của HDB cũng có phân biệt các trường hợp cụ thể, trong đó ưu tiên công dân Singapore. Nếu không sử dụng nhà do HDB cung cấp sẽ được nhà nước hỗ trợ thêm tiền (khoảng 1.200 đôla Singapore).</w:t>
      </w:r>
    </w:p>
    <w:p w14:paraId="462F1DA9"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t>(3) Giới thiệu nhiều loại nhà ở để người dân chọn. HDB chủ yếu cung cấp các căn hộ trong các tòa nhà cao tầng. Có 5 loại căn hộ cơ bản là: Loại căn hộ 1 phòng 26 - 33 đô la singapore/tháng, loại 2 phòng giá 44 - 75 đô la/tháng, loại 3 phòng 85 m2 giá 126.000 đô la, loại 4 phòng 110 - 203.000 đô la và loại 5 phòng 110 m2 - 203.000 đô la. Trong đó, chủ yếu các căn hộ có 1 - 2 phòng dành cho những người thu nhập thấp thuê, các căn hộ 4 - 5 phòng chủ yếu để bán. Ngoài ra, còn có các căn hộ hạng sang (Executive) hoặc các căn hộ cho người già (Studio Apartment).</w:t>
      </w:r>
    </w:p>
    <w:p w14:paraId="1891AB72"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t>Để hạn chế tình trạng mua đi bán lại và đầu cơ, Chính phủ quy định khi mua nhà của HDB phải ở 5 năm mới được bán và sau 10 năm (kể từ khi bán căn nhà thứ nhất) mới được mua căn nhà thứ hai của HDB.</w:t>
      </w:r>
    </w:p>
    <w:p w14:paraId="276B0018"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t>Nhà nước có chính sách về tài chính tương ứng để hỗ trợ chương trình này. Có 2 phương thức chủ yếu. Một là HDB vay nhà nước, các ngân hàng hoặc phát hành trái phiếu (bond) để phát triển các khu dân cư, bán cho người dân và thu hồi vốn để hoàn trả vốn vay. Hai là, chính phủ hỗ trợ vốn cho người dân </w:t>
      </w:r>
      <w:hyperlink r:id="rId7" w:tgtFrame="_bank" w:history="1">
        <w:r>
          <w:rPr>
            <w:b/>
            <w:bCs/>
            <w:color w:val="000000"/>
            <w:sz w:val="28"/>
            <w:szCs w:val="28"/>
          </w:rPr>
          <w:t>mua nhà trả góp</w:t>
        </w:r>
      </w:hyperlink>
      <w:r>
        <w:rPr>
          <w:color w:val="000000"/>
          <w:sz w:val="28"/>
          <w:szCs w:val="28"/>
        </w:rPr>
        <w:t> của HDB (có thế chấp nhà), thông qua phát hành trái phiếu kho bạc từ Quỹ Tiết kiệm Trung ương. Ngoài ra HDB còn vay mượn từ thị trường vốn (trái phiếu trung hạn) và các thể chế tài chính khác.</w:t>
      </w:r>
    </w:p>
    <w:p w14:paraId="4EEF5DBA"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b/>
          <w:color w:val="000000"/>
          <w:sz w:val="28"/>
          <w:szCs w:val="28"/>
        </w:rPr>
        <w:t xml:space="preserve"> </w:t>
      </w:r>
      <w:r>
        <w:rPr>
          <w:bCs/>
          <w:i/>
          <w:iCs/>
          <w:color w:val="000000"/>
          <w:sz w:val="28"/>
          <w:szCs w:val="28"/>
        </w:rPr>
        <w:t>4.4. Mỹ,</w:t>
      </w:r>
      <w:r>
        <w:rPr>
          <w:color w:val="000000"/>
          <w:sz w:val="28"/>
          <w:szCs w:val="28"/>
        </w:rPr>
        <w:t>  Phòng Phát triển Đô thị và Nhà ở Hoa Kỳ (HUD) đã ủy quyền cho các cơ quan nhà ở công cộng (PHAs) dành 20% kinh phí tài trợ của Chương trình Cơ hội Nhà ở cho Mọi người ở Mọi nơi (HOPE VI) cho các dịch vụ hỗ trợ và cộng đồng (CSS), cung cấp một loạt các nguồn lực và dịch vụ để cải thiện kỹ năng sống và thúc đẩy tự cung tự cấp – được định nghĩa là đảm bảo việc làm và hỗ trợ công chúng – cho những người di dời khỏi các khu vực bị phá dỡ.</w:t>
      </w:r>
    </w:p>
    <w:p w14:paraId="4FEB8D93" w14:textId="77777777" w:rsidR="00692C69" w:rsidRDefault="0013194A">
      <w:pPr>
        <w:pStyle w:val="NormalWeb"/>
        <w:shd w:val="clear" w:color="auto" w:fill="FFFFFF"/>
        <w:spacing w:before="0" w:beforeAutospacing="0" w:after="0" w:afterAutospacing="0" w:line="360" w:lineRule="exact"/>
        <w:ind w:firstLine="720"/>
        <w:jc w:val="both"/>
        <w:rPr>
          <w:color w:val="000000"/>
          <w:sz w:val="28"/>
          <w:szCs w:val="28"/>
        </w:rPr>
      </w:pPr>
      <w:r>
        <w:rPr>
          <w:color w:val="000000"/>
          <w:sz w:val="28"/>
          <w:szCs w:val="28"/>
        </w:rPr>
        <w:t xml:space="preserve">Chương trình HOPE VI, kết hợp với CSS tạo điều kiện cho các gia đình di dời từ các khu dân cư tồi tàn, cải thiện điều kiện kinh tế cho những người chuyển đến các khu ở tư nhân bằng Phiếu quà tặng Lựa chọn Nhà ở (HCV) với một loạt dịch vụ hỗ trợ. Trong khi dự án mới vẫn đang xây dựng, tất cả các hộ tái định cư đều nhận được CSS (khoản hỗ trợ cho dịch vụ hỗ trợ và cộng đồng) để cải thiện tình trạng kinh tế của họ, họ có thể đủ điều kiện trở lại nơi ở mới với thu nhập hỗn hợp. </w:t>
      </w:r>
    </w:p>
    <w:p w14:paraId="1AA3148D" w14:textId="77777777" w:rsidR="00692C69" w:rsidRDefault="0013194A">
      <w:pPr>
        <w:spacing w:after="0" w:line="360" w:lineRule="exact"/>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5. Chính sách nhà ở xã hội </w:t>
      </w:r>
    </w:p>
    <w:p w14:paraId="7D581805"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5.1. Trung Quốc </w:t>
      </w:r>
    </w:p>
    <w:p w14:paraId="379E7DDD" w14:textId="77777777" w:rsidR="00692C69" w:rsidRDefault="0013194A">
      <w:pPr>
        <w:spacing w:after="0" w:line="360" w:lineRule="exact"/>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lastRenderedPageBreak/>
        <w:t xml:space="preserve">Các địa phương chủ động lập kế hoạch xây dựng nhà ở XH, căn cứ vào kế hoạch của địa phương, Bộ Nhà ở lập kế hoạch XD nhà ở XH cho toàn quốc và thực hiện phân bổ nguồn ngân sách mà Trung ương hỗ trợ cho các địa phương, các địa phương cũng bố trí thêm kinh phí để XD nhà ở XH. Các Công ty tham gia XD nhà ở XH được Chính phủ miễn một số loại thuế, được Chính phủ cho vay vốn. Có 2 phương thức tạo quỹ đất cho xây dựng nhà ở XH, đó là </w:t>
      </w:r>
      <w:r>
        <w:rPr>
          <w:rFonts w:ascii="Times New Roman" w:eastAsia="Times New Roman" w:hAnsi="Times New Roman" w:cs="Times New Roman"/>
          <w:bCs/>
          <w:i/>
          <w:sz w:val="28"/>
          <w:szCs w:val="28"/>
        </w:rPr>
        <w:t xml:space="preserve">dành từ 2-5% diện tích đất trong dự án nhà ở thương mại </w:t>
      </w:r>
      <w:r>
        <w:rPr>
          <w:rFonts w:ascii="Times New Roman" w:eastAsia="Times New Roman" w:hAnsi="Times New Roman" w:cs="Times New Roman"/>
          <w:bCs/>
          <w:sz w:val="28"/>
          <w:szCs w:val="28"/>
        </w:rPr>
        <w:t>để xây dựng nhà ở XH</w:t>
      </w:r>
      <w:r>
        <w:rPr>
          <w:rFonts w:ascii="Times New Roman" w:eastAsia="Times New Roman" w:hAnsi="Times New Roman" w:cs="Times New Roman"/>
          <w:bCs/>
          <w:i/>
          <w:sz w:val="28"/>
          <w:szCs w:val="28"/>
        </w:rPr>
        <w:t xml:space="preserve"> </w:t>
      </w:r>
      <w:r>
        <w:rPr>
          <w:rFonts w:ascii="Times New Roman" w:eastAsia="Times New Roman" w:hAnsi="Times New Roman" w:cs="Times New Roman"/>
          <w:bCs/>
          <w:sz w:val="28"/>
          <w:szCs w:val="28"/>
        </w:rPr>
        <w:t>và xây dựng</w:t>
      </w:r>
      <w:r>
        <w:rPr>
          <w:rFonts w:ascii="Times New Roman" w:eastAsia="Times New Roman" w:hAnsi="Times New Roman" w:cs="Times New Roman"/>
          <w:bCs/>
          <w:i/>
          <w:sz w:val="28"/>
          <w:szCs w:val="28"/>
        </w:rPr>
        <w:t xml:space="preserve"> dự án nhà ở XH riêng</w:t>
      </w:r>
      <w:r>
        <w:rPr>
          <w:rFonts w:ascii="Times New Roman" w:eastAsia="Times New Roman" w:hAnsi="Times New Roman" w:cs="Times New Roman"/>
          <w:bCs/>
          <w:sz w:val="28"/>
          <w:szCs w:val="28"/>
        </w:rPr>
        <w:t xml:space="preserve">. Nhà ở XH là nhà chung cư và có 2 loại: </w:t>
      </w:r>
      <w:r>
        <w:rPr>
          <w:rFonts w:ascii="Times New Roman" w:eastAsia="Times New Roman" w:hAnsi="Times New Roman" w:cs="Times New Roman"/>
          <w:bCs/>
          <w:i/>
          <w:sz w:val="28"/>
          <w:szCs w:val="28"/>
        </w:rPr>
        <w:t xml:space="preserve">nhà cho thuê và nhà để bán </w:t>
      </w:r>
      <w:r>
        <w:rPr>
          <w:rFonts w:ascii="Times New Roman" w:eastAsia="Times New Roman" w:hAnsi="Times New Roman" w:cs="Times New Roman"/>
          <w:bCs/>
          <w:sz w:val="28"/>
          <w:szCs w:val="28"/>
        </w:rPr>
        <w:t>theo giá Chính phủ quy định. DT căn hộ có 3 loại: 50 - 70 - 95m</w:t>
      </w:r>
      <w:r>
        <w:rPr>
          <w:rFonts w:ascii="Times New Roman" w:eastAsia="Times New Roman" w:hAnsi="Times New Roman" w:cs="Times New Roman"/>
          <w:bCs/>
          <w:sz w:val="28"/>
          <w:szCs w:val="28"/>
          <w:vertAlign w:val="superscript"/>
        </w:rPr>
        <w:t>2</w:t>
      </w:r>
      <w:r>
        <w:rPr>
          <w:rFonts w:ascii="Times New Roman" w:eastAsia="Times New Roman" w:hAnsi="Times New Roman" w:cs="Times New Roman"/>
          <w:bCs/>
          <w:sz w:val="28"/>
          <w:szCs w:val="28"/>
        </w:rPr>
        <w:t xml:space="preserve">. </w:t>
      </w:r>
    </w:p>
    <w:p w14:paraId="564F5F7A" w14:textId="77777777" w:rsidR="00692C69" w:rsidRDefault="0013194A">
      <w:pPr>
        <w:spacing w:after="0" w:line="360" w:lineRule="exact"/>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Đối tượng thuê hoặc mua nhà ở do chính quyền địa phương quy định. Việc bán hoặc cho thuê nhà ở được thực hiện theo 2 phương thức: các Công ty trực tiếp bán, cho thuê hoặc Chính phủ bỏ tiền mua lại sau đó giao cho Công ty ký hợp đồng bán, cho thuê. Giá bán, giá cho thuê bằng khoảng 50% giá thị trường.</w:t>
      </w:r>
    </w:p>
    <w:p w14:paraId="3E0E9D24" w14:textId="77777777" w:rsidR="00692C69" w:rsidRDefault="0013194A">
      <w:pPr>
        <w:spacing w:after="0" w:line="360" w:lineRule="exact"/>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a) Tại Bắc Kinh:</w:t>
      </w:r>
      <w:r>
        <w:rPr>
          <w:rFonts w:ascii="Times New Roman" w:eastAsia="Times New Roman" w:hAnsi="Times New Roman" w:cs="Times New Roman"/>
          <w:bCs/>
          <w:sz w:val="28"/>
          <w:szCs w:val="28"/>
        </w:rPr>
        <w:t xml:space="preserve"> Chính quyền TP thực hiện giải phóng mặt bằng, sau đó đấu thầu lựa chọn chủ đầu tư. Sau khi xây dựng xong nhà ở thì Nhà nước sẽ mua lại nhà ở để cho thuê hoặc các Công ty XD sẽ trực tiếp ký hợp đồng cho thuê. Có 3 loại nhà ở XH, gồm: </w:t>
      </w:r>
      <w:r>
        <w:rPr>
          <w:rFonts w:ascii="Times New Roman" w:eastAsia="Times New Roman" w:hAnsi="Times New Roman" w:cs="Times New Roman"/>
          <w:bCs/>
          <w:i/>
          <w:sz w:val="28"/>
          <w:szCs w:val="28"/>
        </w:rPr>
        <w:t>nhà ở cho người thu nhập thấp, nhà ở kinh tế thích hợp</w:t>
      </w:r>
      <w:r>
        <w:rPr>
          <w:rFonts w:ascii="Times New Roman" w:eastAsia="Times New Roman" w:hAnsi="Times New Roman" w:cs="Times New Roman"/>
          <w:bCs/>
          <w:sz w:val="28"/>
          <w:szCs w:val="28"/>
        </w:rPr>
        <w:t xml:space="preserve"> (là nhà ở cho người trên mức nghèo nhưng chưa đủ tiền để mua nhà) và </w:t>
      </w:r>
      <w:r>
        <w:rPr>
          <w:rFonts w:ascii="Times New Roman" w:eastAsia="Times New Roman" w:hAnsi="Times New Roman" w:cs="Times New Roman"/>
          <w:bCs/>
          <w:i/>
          <w:sz w:val="28"/>
          <w:szCs w:val="28"/>
        </w:rPr>
        <w:t>nhà ở cho cán bộ công chức, lực lượng vũ trang nhân dân</w:t>
      </w:r>
      <w:r>
        <w:rPr>
          <w:rFonts w:ascii="Times New Roman" w:eastAsia="Times New Roman" w:hAnsi="Times New Roman" w:cs="Times New Roman"/>
          <w:bCs/>
          <w:sz w:val="28"/>
          <w:szCs w:val="28"/>
        </w:rPr>
        <w:t xml:space="preserve">. Ba loại nhà ở nêu trên chiếm khoảng 30% diện tích nhà ở toàn TP, giá cho thuê nhà ở này thấp hơn khoảng 30% so với giá nhà ở thương mại. Đối tượng được thuê nhà ở XH phải có đủ 2 điều kiện, đó là thuộc diện </w:t>
      </w:r>
      <w:r>
        <w:rPr>
          <w:rFonts w:ascii="Times New Roman" w:eastAsia="Times New Roman" w:hAnsi="Times New Roman" w:cs="Times New Roman"/>
          <w:bCs/>
          <w:i/>
          <w:sz w:val="28"/>
          <w:szCs w:val="28"/>
        </w:rPr>
        <w:t>thu nhập thấp và có khó khăn về nhà ở</w:t>
      </w:r>
      <w:r>
        <w:rPr>
          <w:rFonts w:ascii="Times New Roman" w:eastAsia="Times New Roman" w:hAnsi="Times New Roman" w:cs="Times New Roman"/>
          <w:bCs/>
          <w:sz w:val="28"/>
          <w:szCs w:val="28"/>
        </w:rPr>
        <w:t xml:space="preserve">. </w:t>
      </w:r>
    </w:p>
    <w:p w14:paraId="51AF5567" w14:textId="77777777" w:rsidR="00692C69" w:rsidRDefault="0013194A">
      <w:pPr>
        <w:spacing w:after="0" w:line="360" w:lineRule="exact"/>
        <w:ind w:firstLine="720"/>
        <w:jc w:val="both"/>
        <w:rPr>
          <w:rFonts w:ascii="Times New Roman" w:eastAsia="Times New Roman" w:hAnsi="Times New Roman" w:cs="Times New Roman"/>
          <w:bCs/>
          <w:sz w:val="28"/>
          <w:szCs w:val="28"/>
        </w:rPr>
      </w:pPr>
      <w:r>
        <w:rPr>
          <w:rFonts w:ascii="Times New Roman" w:eastAsia="Times New Roman" w:hAnsi="Times New Roman" w:cs="Times New Roman"/>
          <w:bCs/>
          <w:i/>
          <w:sz w:val="28"/>
          <w:szCs w:val="28"/>
        </w:rPr>
        <w:t>b) Tại Thượng Hải:</w:t>
      </w:r>
      <w:r>
        <w:rPr>
          <w:rFonts w:ascii="Times New Roman" w:eastAsia="Times New Roman" w:hAnsi="Times New Roman" w:cs="Times New Roman"/>
          <w:bCs/>
          <w:sz w:val="28"/>
          <w:szCs w:val="28"/>
        </w:rPr>
        <w:t xml:space="preserve"> Chính quyền TP đã thành lập Quỹ tiết kiệm nhà ở, nguồn vốn hình thành Quỹ là tiền đóng góp của người làm công ăn lương (khi thành lập Quỹ người lao động phải nộp 1% mức thu nhập, các công ty sử dụng lao động phải nộp từ 1-2%, nhưng hiện nay đã tăng lên 7%, người lao động nộp một phần và Công ty nộp một phần), lãi suất gửi vào Quỹ thấp hơn lãi suất gửi ngân hàng thương mại. Những người không có nhu cầu mua hoặc thuê nhà khi về hưu sẽ được nhận lại toàn bộ khoản tiền đã nộp cộng với lãi suất, những người có nhu cầu mua nhà thì sẽ được xem xét, nếu </w:t>
      </w:r>
      <w:r>
        <w:rPr>
          <w:rFonts w:ascii="Times New Roman" w:eastAsia="Times New Roman" w:hAnsi="Times New Roman" w:cs="Times New Roman"/>
          <w:bCs/>
          <w:i/>
          <w:sz w:val="28"/>
          <w:szCs w:val="28"/>
        </w:rPr>
        <w:t>đúng đối tượng và có khả năng trả nợ</w:t>
      </w:r>
      <w:r>
        <w:rPr>
          <w:rFonts w:ascii="Times New Roman" w:eastAsia="Times New Roman" w:hAnsi="Times New Roman" w:cs="Times New Roman"/>
          <w:bCs/>
          <w:sz w:val="28"/>
          <w:szCs w:val="28"/>
        </w:rPr>
        <w:t xml:space="preserve"> thì được vay tiền để mua nhà ở (kể cả mua nhà ở thương mại). Đối tượng được mua hoặc thuê nhà ở phải có đủ 3 điều kiện: </w:t>
      </w:r>
      <w:r>
        <w:rPr>
          <w:rFonts w:ascii="Times New Roman" w:eastAsia="Times New Roman" w:hAnsi="Times New Roman" w:cs="Times New Roman"/>
          <w:bCs/>
          <w:i/>
          <w:sz w:val="28"/>
          <w:szCs w:val="28"/>
        </w:rPr>
        <w:t>thuộc diện thu nhập thấp so với thu nhập bình quân của địa phương, có diện tích nhà ở bình quân dưới 7m</w:t>
      </w:r>
      <w:r>
        <w:rPr>
          <w:rFonts w:ascii="Times New Roman" w:eastAsia="Times New Roman" w:hAnsi="Times New Roman" w:cs="Times New Roman"/>
          <w:bCs/>
          <w:i/>
          <w:sz w:val="28"/>
          <w:szCs w:val="28"/>
          <w:vertAlign w:val="superscript"/>
        </w:rPr>
        <w:t>2</w:t>
      </w:r>
      <w:r>
        <w:rPr>
          <w:rFonts w:ascii="Times New Roman" w:eastAsia="Times New Roman" w:hAnsi="Times New Roman" w:cs="Times New Roman"/>
          <w:bCs/>
          <w:i/>
          <w:sz w:val="28"/>
          <w:szCs w:val="28"/>
        </w:rPr>
        <w:t>/người và có tài khoản tại ngân hàng khoảng 90.000 tệ trở xuống</w:t>
      </w:r>
      <w:r>
        <w:rPr>
          <w:rFonts w:ascii="Times New Roman" w:eastAsia="Times New Roman" w:hAnsi="Times New Roman" w:cs="Times New Roman"/>
          <w:bCs/>
          <w:sz w:val="28"/>
          <w:szCs w:val="28"/>
        </w:rPr>
        <w:t xml:space="preserve">. Ba điều kiện này sẽ được điều chỉnh hàng năm cho phù hợp với tình hình phát triển kinh tế của địa phương. </w:t>
      </w:r>
    </w:p>
    <w:p w14:paraId="4E6C3CC4" w14:textId="77777777" w:rsidR="00692C69" w:rsidRDefault="0013194A">
      <w:pPr>
        <w:spacing w:after="0" w:line="360" w:lineRule="exact"/>
        <w:jc w:val="both"/>
        <w:rPr>
          <w:rFonts w:ascii="Times New Roman" w:hAnsi="Times New Roman" w:cs="Times New Roman"/>
          <w:i/>
          <w:iCs/>
          <w:sz w:val="28"/>
          <w:szCs w:val="28"/>
        </w:rPr>
      </w:pPr>
      <w:r>
        <w:rPr>
          <w:rFonts w:ascii="Times New Roman" w:hAnsi="Times New Roman" w:cs="Times New Roman"/>
          <w:i/>
          <w:iCs/>
          <w:sz w:val="28"/>
          <w:szCs w:val="28"/>
        </w:rPr>
        <w:tab/>
        <w:t xml:space="preserve">5.2. Hàn Quốc </w:t>
      </w:r>
    </w:p>
    <w:p w14:paraId="2963F7B5"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Nhà ở xã hội là loại nhà ở được hỗ trợ đầu tư xây dựng từ nhiều nguồn tài chính và từ các Quỹ tài chính Chính phủ, nhà ở xã hội được chia làm 2 loại: nhà ở xã hội để bán và nhà ở xã hội cho thuê. Từ 1982 đến 1994, Hàn Quốc đã xây dựng được 634,559 căn hộ các loại này (chiếm 11,6% số lượng nhà được xây cùng </w:t>
      </w:r>
      <w:r>
        <w:rPr>
          <w:rFonts w:ascii="Times New Roman" w:hAnsi="Times New Roman" w:cs="Times New Roman"/>
          <w:sz w:val="28"/>
          <w:szCs w:val="28"/>
        </w:rPr>
        <w:lastRenderedPageBreak/>
        <w:t>giai đoạn), bao gồm: Nhà thuê có thời hạn, nhà cho thuê lâu dài, nhà cho công nhân thuê. Trong đó, nhà cho thuê lâu dài là để cho các đối tượng: thu nhập thấp, người có công với đất nước, cựu chiến binh; nhà thuê 50 năm dành cho người tái định cư, người tàng tật, vô gia cư (Chính phủ đã dừng đầu tư xây dựng loại nhà này từ giữa những năm 90 do gánh nặng về tài chính cho ngân sách nhà nước); nhà thuê 5 năm dành cho các hộ thu nhập thấp có khó khăn về nhà ở và thuê nhà từ việc tham gia tiết kiệm nhà ở (đến giữa năm 90 đã cung cấp được 100.000 căn hộ loại này); nhà cho công nhân thuê là do Chính phủ đầu tư xây dựng để bán ưu đãi cho các công ty, đơn vị sử dụng lao động để cho công nhân thuê và và trực tiếp cho người lao động thuê.</w:t>
      </w:r>
    </w:p>
    <w:p w14:paraId="7B229FAF"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t>Việc xây dựng nhà ở xã hội chủ yếu được giao cho Tập đoàn nhà ở quốc gia Hàn Quốc (KNHC: Korea National Housing Corp) xây dựng theo hình thức hoạt động, hạch toán độc lập, Nhà nước hỗ trợ về tài chính (được mua đất giá rẻ khi xây dựng nhà cho người thu nhập thấp) và vay ưu đãi tín dụng. Ngoài ra KNHC phải tự thu hút các nguồn đầu tư khác (chiếm phần lớn là tiền từ người mua, thuê nhà). Các chính sách hỗ trợ KNHC từ Chính phủ như: Cho phép vay vốn từ Quỹ NHF (Quỹ nhà ở quốc gia Hàn Quốc) như vay với lãi suất 3% với xây dựng nhà thuê và 10% khi xây dựng nhà để bán) và các khoản vay khác từ ngân sách. Lúc đầu NHF chỉ cho vay để xây dựng những căn hộ 85 m</w:t>
      </w:r>
      <w:r>
        <w:rPr>
          <w:rFonts w:ascii="Times New Roman" w:hAnsi="Times New Roman" w:cs="Times New Roman"/>
          <w:sz w:val="28"/>
          <w:szCs w:val="28"/>
          <w:vertAlign w:val="superscript"/>
        </w:rPr>
        <w:t>2</w:t>
      </w:r>
      <w:r>
        <w:rPr>
          <w:rFonts w:ascii="Times New Roman" w:hAnsi="Times New Roman" w:cs="Times New Roman"/>
          <w:sz w:val="28"/>
          <w:szCs w:val="28"/>
        </w:rPr>
        <w:t xml:space="preserve"> về sau thì chỉ cho vay để xây dựng các căn hộ nhỏ hơn 60 m</w:t>
      </w:r>
      <w:r>
        <w:rPr>
          <w:rFonts w:ascii="Times New Roman" w:hAnsi="Times New Roman" w:cs="Times New Roman"/>
          <w:sz w:val="28"/>
          <w:szCs w:val="28"/>
          <w:vertAlign w:val="superscript"/>
        </w:rPr>
        <w:t>2</w:t>
      </w:r>
      <w:r>
        <w:rPr>
          <w:rFonts w:ascii="Times New Roman" w:hAnsi="Times New Roman" w:cs="Times New Roman"/>
          <w:sz w:val="28"/>
          <w:szCs w:val="28"/>
        </w:rPr>
        <w:t xml:space="preserve">. </w:t>
      </w:r>
    </w:p>
    <w:p w14:paraId="7A5500F8"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t>Đến cuối những năm 70, khi khả năng kiểm soát thị trường Chính phủ đã tăng lên thì Chính phủ chuyển sang khuyến khích đầu tư tư nhân vào nhà ở xã hội, số lượng nhà cung cấp bởi KNHC giảm xuống (hỗ trợ bằng các biện pháp quản lý và chính sách hành chính cho đầu tư tư nhân vào nhà ở xã hội).</w:t>
      </w:r>
    </w:p>
    <w:p w14:paraId="2A1328CD" w14:textId="77777777" w:rsidR="00692C69" w:rsidRDefault="0013194A">
      <w:pPr>
        <w:spacing w:after="0" w:line="360" w:lineRule="exact"/>
        <w:jc w:val="both"/>
        <w:rPr>
          <w:rFonts w:ascii="Times New Roman" w:hAnsi="Times New Roman" w:cs="Times New Roman"/>
          <w:i/>
          <w:iCs/>
          <w:sz w:val="28"/>
          <w:szCs w:val="28"/>
        </w:rPr>
      </w:pPr>
      <w:r>
        <w:rPr>
          <w:rFonts w:ascii="Times New Roman" w:hAnsi="Times New Roman" w:cs="Times New Roman"/>
          <w:b/>
          <w:bCs/>
          <w:sz w:val="28"/>
          <w:szCs w:val="28"/>
        </w:rPr>
        <w:tab/>
      </w:r>
      <w:r>
        <w:rPr>
          <w:rFonts w:ascii="Times New Roman" w:hAnsi="Times New Roman" w:cs="Times New Roman"/>
          <w:i/>
          <w:iCs/>
          <w:sz w:val="28"/>
          <w:szCs w:val="28"/>
        </w:rPr>
        <w:t xml:space="preserve">5.3. Nhật Bản </w:t>
      </w:r>
    </w:p>
    <w:p w14:paraId="3C10F9F1"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Tại Nhật Bản, chỉ có một số ít nhà ở dành cho công chức, viên chức, chủ yếu được phát triển trong thời kỳ trước đây. Hiện nay, Chính phủ Nhật bản và chính quyền tại địa phương đã phối hợp để cung cấp nhà ở giá rẻ cho người thu nhập thấp và người có khó khăn về nhà ở, có chất lượng tương đương với các căn hộ thương mại khác trên thị trường. Cán bộ công chức tại nước này chủ yếu mua và thuê nhà ở với giá được nhà nước ưu đãi, hỗ trợ, cụ thể là:</w:t>
      </w:r>
    </w:p>
    <w:p w14:paraId="7251789A"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Theo khảo sát trên tổng số 481.084 cán bộ công chức của Nhật Bản vào tháng 4/2010 thì có khoảng 30% cán bộ công chức ở trong các của hộ của Chính phủ, 14,9% được hỗ trợ thuê nhà, 45,7% được sở hữu nhà ở và 4,4% ở trong nhà công vụ của Chính phủ.</w:t>
      </w:r>
    </w:p>
    <w:p w14:paraId="3A8C94EC" w14:textId="77777777" w:rsidR="00692C69" w:rsidRDefault="00692C69">
      <w:pPr>
        <w:spacing w:after="0" w:line="360" w:lineRule="exact"/>
        <w:jc w:val="both"/>
        <w:rPr>
          <w:rFonts w:ascii="Times New Roman" w:hAnsi="Times New Roman" w:cs="Times New Roman"/>
          <w:sz w:val="28"/>
          <w:szCs w:val="28"/>
        </w:rPr>
      </w:pPr>
    </w:p>
    <w:p w14:paraId="3E39E7A5" w14:textId="77777777" w:rsidR="00692C69" w:rsidRDefault="00692C69">
      <w:pPr>
        <w:spacing w:after="0" w:line="360" w:lineRule="exact"/>
        <w:jc w:val="both"/>
        <w:rPr>
          <w:rFonts w:ascii="Times New Roman" w:hAnsi="Times New Roman" w:cs="Times New Roman"/>
          <w:sz w:val="28"/>
          <w:szCs w:val="28"/>
        </w:rPr>
      </w:pPr>
    </w:p>
    <w:p w14:paraId="4E786A79" w14:textId="77777777" w:rsidR="00692C69" w:rsidRDefault="00692C69">
      <w:pPr>
        <w:spacing w:after="0" w:line="360" w:lineRule="exact"/>
        <w:jc w:val="both"/>
        <w:rPr>
          <w:rFonts w:ascii="Times New Roman" w:hAnsi="Times New Roman" w:cs="Times New Roman"/>
          <w:sz w:val="28"/>
          <w:szCs w:val="28"/>
        </w:rPr>
      </w:pPr>
    </w:p>
    <w:p w14:paraId="7C99935F" w14:textId="77777777" w:rsidR="00692C69" w:rsidRDefault="00692C69">
      <w:pPr>
        <w:spacing w:after="0" w:line="360" w:lineRule="exact"/>
        <w:jc w:val="both"/>
        <w:rPr>
          <w:rFonts w:ascii="Times New Roman" w:hAnsi="Times New Roman" w:cs="Times New Roman"/>
          <w:sz w:val="28"/>
          <w:szCs w:val="28"/>
        </w:rPr>
      </w:pPr>
    </w:p>
    <w:p w14:paraId="2AB7A789" w14:textId="77777777" w:rsidR="00692C69" w:rsidRDefault="00692C69">
      <w:pPr>
        <w:spacing w:after="0" w:line="360" w:lineRule="exact"/>
        <w:jc w:val="both"/>
        <w:rPr>
          <w:rFonts w:ascii="Times New Roman" w:hAnsi="Times New Roman" w:cs="Times New Roman"/>
          <w:sz w:val="28"/>
          <w:szCs w:val="28"/>
        </w:rPr>
      </w:pPr>
    </w:p>
    <w:p w14:paraId="62A30EB4" w14:textId="77777777" w:rsidR="00692C69" w:rsidRDefault="00692C69">
      <w:pPr>
        <w:spacing w:after="0" w:line="360" w:lineRule="exact"/>
        <w:jc w:val="both"/>
        <w:rPr>
          <w:rFonts w:ascii="Times New Roman" w:hAnsi="Times New Roman" w:cs="Times New Roman"/>
          <w:sz w:val="28"/>
          <w:szCs w:val="28"/>
        </w:rPr>
      </w:pPr>
    </w:p>
    <w:p w14:paraId="24780AB9" w14:textId="77777777" w:rsidR="00692C69" w:rsidRDefault="00692C69">
      <w:pPr>
        <w:spacing w:after="0" w:line="360" w:lineRule="exact"/>
        <w:jc w:val="both"/>
        <w:rPr>
          <w:rFonts w:ascii="Times New Roman" w:hAnsi="Times New Roman" w:cs="Times New Roman"/>
          <w:sz w:val="28"/>
          <w:szCs w:val="28"/>
        </w:rPr>
      </w:pPr>
    </w:p>
    <w:p w14:paraId="2C40344C" w14:textId="77777777" w:rsidR="00692C69" w:rsidRDefault="00692C69">
      <w:pPr>
        <w:spacing w:after="0" w:line="360" w:lineRule="exact"/>
        <w:jc w:val="both"/>
        <w:rPr>
          <w:rFonts w:ascii="Times New Roman" w:hAnsi="Times New Roman" w:cs="Times New Roman"/>
          <w:sz w:val="28"/>
          <w:szCs w:val="28"/>
        </w:rPr>
      </w:pPr>
    </w:p>
    <w:p w14:paraId="36232053" w14:textId="77777777" w:rsidR="00692C69" w:rsidRDefault="00692C69">
      <w:pPr>
        <w:spacing w:after="0" w:line="360" w:lineRule="exact"/>
        <w:jc w:val="both"/>
        <w:rPr>
          <w:rFonts w:ascii="Times New Roman" w:hAnsi="Times New Roman" w:cs="Times New Roman"/>
          <w:sz w:val="28"/>
          <w:szCs w:val="28"/>
        </w:rPr>
      </w:pPr>
    </w:p>
    <w:p w14:paraId="7C9BEC63" w14:textId="77777777" w:rsidR="00692C69" w:rsidRDefault="00692C69">
      <w:pPr>
        <w:spacing w:after="0" w:line="360" w:lineRule="exact"/>
        <w:jc w:val="both"/>
        <w:rPr>
          <w:rFonts w:ascii="Times New Roman" w:hAnsi="Times New Roman" w:cs="Times New Roman"/>
          <w:sz w:val="28"/>
          <w:szCs w:val="28"/>
        </w:rPr>
      </w:pPr>
    </w:p>
    <w:p w14:paraId="04C882D0" w14:textId="77777777" w:rsidR="00692C69" w:rsidRDefault="00692C69">
      <w:pPr>
        <w:spacing w:after="0" w:line="360" w:lineRule="exact"/>
        <w:jc w:val="both"/>
        <w:rPr>
          <w:rFonts w:ascii="Times New Roman" w:hAnsi="Times New Roman" w:cs="Times New Roman"/>
          <w:sz w:val="28"/>
          <w:szCs w:val="28"/>
        </w:rPr>
      </w:pPr>
    </w:p>
    <w:p w14:paraId="1B4F07F5"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noProof/>
        </w:rPr>
        <w:drawing>
          <wp:anchor distT="0" distB="0" distL="114300" distR="114300" simplePos="0" relativeHeight="251673600" behindDoc="0" locked="0" layoutInCell="1" allowOverlap="1" wp14:anchorId="7CAEE10E" wp14:editId="5BFCD5FD">
            <wp:simplePos x="0" y="0"/>
            <wp:positionH relativeFrom="column">
              <wp:posOffset>3598</wp:posOffset>
            </wp:positionH>
            <wp:positionV relativeFrom="paragraph">
              <wp:posOffset>-1600623</wp:posOffset>
            </wp:positionV>
            <wp:extent cx="3319145" cy="2726055"/>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t="2522"/>
                    <a:stretch>
                      <a:fillRect/>
                    </a:stretch>
                  </pic:blipFill>
                  <pic:spPr bwMode="auto">
                    <a:xfrm>
                      <a:off x="0" y="0"/>
                      <a:ext cx="3319145" cy="2726055"/>
                    </a:xfrm>
                    <a:prstGeom prst="rect">
                      <a:avLst/>
                    </a:prstGeom>
                    <a:noFill/>
                    <a:ln>
                      <a:noFill/>
                    </a:ln>
                  </pic:spPr>
                </pic:pic>
              </a:graphicData>
            </a:graphic>
          </wp:anchor>
        </w:drawing>
      </w:r>
    </w:p>
    <w:p w14:paraId="41F103CB" w14:textId="77777777" w:rsidR="00692C69" w:rsidRDefault="00692C69">
      <w:pPr>
        <w:pStyle w:val="ListParagraph"/>
        <w:spacing w:after="0" w:line="360" w:lineRule="exact"/>
        <w:ind w:left="3240" w:firstLine="360"/>
        <w:contextualSpacing w:val="0"/>
        <w:jc w:val="both"/>
        <w:rPr>
          <w:rFonts w:ascii="Times New Roman" w:hAnsi="Times New Roman" w:cs="Times New Roman"/>
          <w:i/>
          <w:sz w:val="28"/>
          <w:szCs w:val="28"/>
        </w:rPr>
      </w:pPr>
    </w:p>
    <w:p w14:paraId="562B48A7" w14:textId="77777777" w:rsidR="00692C69" w:rsidRDefault="00692C69">
      <w:pPr>
        <w:pStyle w:val="ListParagraph"/>
        <w:spacing w:after="0" w:line="360" w:lineRule="exact"/>
        <w:ind w:left="3240" w:firstLine="360"/>
        <w:contextualSpacing w:val="0"/>
        <w:jc w:val="both"/>
        <w:rPr>
          <w:rFonts w:ascii="Times New Roman" w:hAnsi="Times New Roman" w:cs="Times New Roman"/>
          <w:i/>
          <w:sz w:val="28"/>
          <w:szCs w:val="28"/>
        </w:rPr>
      </w:pPr>
    </w:p>
    <w:p w14:paraId="558F1A90" w14:textId="77777777" w:rsidR="00692C69" w:rsidRDefault="00692C69">
      <w:pPr>
        <w:pStyle w:val="ListParagraph"/>
        <w:spacing w:after="0" w:line="360" w:lineRule="exact"/>
        <w:ind w:left="3240" w:firstLine="360"/>
        <w:contextualSpacing w:val="0"/>
        <w:jc w:val="both"/>
        <w:rPr>
          <w:rFonts w:ascii="Times New Roman" w:hAnsi="Times New Roman" w:cs="Times New Roman"/>
          <w:i/>
          <w:sz w:val="28"/>
          <w:szCs w:val="28"/>
        </w:rPr>
      </w:pPr>
    </w:p>
    <w:p w14:paraId="6DFAF5BA" w14:textId="77777777" w:rsidR="00692C69" w:rsidRDefault="00692C69">
      <w:pPr>
        <w:pStyle w:val="ListParagraph"/>
        <w:spacing w:after="0" w:line="360" w:lineRule="exact"/>
        <w:ind w:left="3240" w:firstLine="360"/>
        <w:contextualSpacing w:val="0"/>
        <w:jc w:val="both"/>
        <w:rPr>
          <w:rFonts w:ascii="Times New Roman" w:hAnsi="Times New Roman" w:cs="Times New Roman"/>
          <w:i/>
          <w:sz w:val="28"/>
          <w:szCs w:val="28"/>
        </w:rPr>
      </w:pPr>
    </w:p>
    <w:p w14:paraId="4FB1E498" w14:textId="77777777" w:rsidR="00692C69" w:rsidRDefault="0013194A">
      <w:pPr>
        <w:pStyle w:val="ListParagraph"/>
        <w:spacing w:after="0" w:line="360" w:lineRule="exact"/>
        <w:ind w:left="3240" w:firstLine="360"/>
        <w:contextualSpacing w:val="0"/>
        <w:jc w:val="both"/>
        <w:rPr>
          <w:rFonts w:ascii="Times New Roman" w:hAnsi="Times New Roman" w:cs="Times New Roman"/>
          <w:i/>
          <w:sz w:val="28"/>
          <w:szCs w:val="28"/>
        </w:rPr>
      </w:pPr>
      <w:r>
        <w:rPr>
          <w:rFonts w:ascii="Times New Roman" w:hAnsi="Times New Roman" w:cs="Times New Roman"/>
          <w:i/>
          <w:sz w:val="28"/>
          <w:szCs w:val="28"/>
        </w:rPr>
        <w:t>(Nguồn: Cơ sở dữ liệu Quốc gia Nhật Bản 2010)</w:t>
      </w:r>
    </w:p>
    <w:p w14:paraId="769B7727"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Nguồn vốn để phát triển nhà ở này được phân bỏ giữa ngân sách chính phủ, ngân sách địa phương và các người dân; cụ thể:</w:t>
      </w:r>
    </w:p>
    <w:p w14:paraId="45370E80" w14:textId="77777777" w:rsidR="00692C69" w:rsidRDefault="00692C69">
      <w:pPr>
        <w:spacing w:after="0" w:line="360" w:lineRule="exact"/>
        <w:ind w:firstLine="360"/>
        <w:jc w:val="both"/>
        <w:rPr>
          <w:rFonts w:ascii="Times New Roman" w:hAnsi="Times New Roman" w:cs="Times New Roman"/>
          <w:sz w:val="28"/>
          <w:szCs w:val="28"/>
        </w:rPr>
      </w:pPr>
    </w:p>
    <w:p w14:paraId="6C341DBD" w14:textId="77777777" w:rsidR="00692C69" w:rsidRDefault="00692C69">
      <w:pPr>
        <w:spacing w:after="0" w:line="360" w:lineRule="exact"/>
        <w:ind w:firstLine="360"/>
        <w:jc w:val="both"/>
        <w:rPr>
          <w:rFonts w:ascii="Times New Roman" w:hAnsi="Times New Roman" w:cs="Times New Roman"/>
          <w:sz w:val="28"/>
          <w:szCs w:val="28"/>
        </w:rPr>
      </w:pPr>
    </w:p>
    <w:p w14:paraId="2665C250" w14:textId="77777777" w:rsidR="00692C69" w:rsidRDefault="00692C69">
      <w:pPr>
        <w:spacing w:after="0" w:line="360" w:lineRule="exact"/>
        <w:ind w:firstLine="360"/>
        <w:jc w:val="both"/>
        <w:rPr>
          <w:rFonts w:ascii="Times New Roman" w:hAnsi="Times New Roman" w:cs="Times New Roman"/>
          <w:sz w:val="28"/>
          <w:szCs w:val="28"/>
        </w:rPr>
      </w:pPr>
    </w:p>
    <w:p w14:paraId="28DC4B35" w14:textId="77777777" w:rsidR="00692C69" w:rsidRDefault="00692C69">
      <w:pPr>
        <w:spacing w:after="0" w:line="360" w:lineRule="exact"/>
        <w:ind w:firstLine="360"/>
        <w:jc w:val="both"/>
        <w:rPr>
          <w:rFonts w:ascii="Times New Roman" w:hAnsi="Times New Roman" w:cs="Times New Roman"/>
          <w:sz w:val="28"/>
          <w:szCs w:val="28"/>
        </w:rPr>
      </w:pPr>
    </w:p>
    <w:p w14:paraId="263E096C" w14:textId="77777777" w:rsidR="00692C69" w:rsidRDefault="00692C69">
      <w:pPr>
        <w:spacing w:after="0" w:line="360" w:lineRule="exact"/>
        <w:ind w:firstLine="360"/>
        <w:jc w:val="both"/>
        <w:rPr>
          <w:rFonts w:ascii="Times New Roman" w:hAnsi="Times New Roman" w:cs="Times New Roman"/>
          <w:sz w:val="28"/>
          <w:szCs w:val="28"/>
        </w:rPr>
      </w:pPr>
    </w:p>
    <w:p w14:paraId="34FC2D8E" w14:textId="77777777" w:rsidR="00692C69" w:rsidRDefault="00692C69">
      <w:pPr>
        <w:spacing w:after="0" w:line="360" w:lineRule="exact"/>
        <w:ind w:firstLine="360"/>
        <w:jc w:val="both"/>
        <w:rPr>
          <w:rFonts w:ascii="Times New Roman" w:hAnsi="Times New Roman" w:cs="Times New Roman"/>
          <w:sz w:val="28"/>
          <w:szCs w:val="28"/>
        </w:rPr>
      </w:pPr>
    </w:p>
    <w:p w14:paraId="496C78B4" w14:textId="77777777" w:rsidR="00692C69" w:rsidRDefault="00692C69">
      <w:pPr>
        <w:spacing w:after="0" w:line="360" w:lineRule="exact"/>
        <w:ind w:firstLine="360"/>
        <w:jc w:val="both"/>
        <w:rPr>
          <w:rFonts w:ascii="Times New Roman" w:hAnsi="Times New Roman" w:cs="Times New Roman"/>
          <w:sz w:val="28"/>
          <w:szCs w:val="28"/>
        </w:rPr>
      </w:pPr>
    </w:p>
    <w:p w14:paraId="615F5C3E" w14:textId="77777777" w:rsidR="00692C69" w:rsidRDefault="00692C69">
      <w:pPr>
        <w:spacing w:after="0" w:line="360" w:lineRule="exact"/>
        <w:ind w:firstLine="360"/>
        <w:jc w:val="both"/>
        <w:rPr>
          <w:rFonts w:ascii="Times New Roman" w:hAnsi="Times New Roman" w:cs="Times New Roman"/>
          <w:sz w:val="28"/>
          <w:szCs w:val="28"/>
        </w:rPr>
      </w:pPr>
    </w:p>
    <w:p w14:paraId="2262A1F9" w14:textId="77777777" w:rsidR="00692C69" w:rsidRDefault="00692C69">
      <w:pPr>
        <w:spacing w:after="0" w:line="360" w:lineRule="exact"/>
        <w:ind w:firstLine="360"/>
        <w:jc w:val="both"/>
        <w:rPr>
          <w:rFonts w:ascii="Times New Roman" w:hAnsi="Times New Roman" w:cs="Times New Roman"/>
          <w:noProof/>
          <w:sz w:val="28"/>
          <w:szCs w:val="28"/>
        </w:rPr>
      </w:pPr>
    </w:p>
    <w:p w14:paraId="3CEC9311" w14:textId="77777777" w:rsidR="00692C69" w:rsidRDefault="0013194A">
      <w:pPr>
        <w:spacing w:after="0" w:line="360" w:lineRule="exact"/>
        <w:ind w:firstLine="360"/>
        <w:jc w:val="both"/>
        <w:rPr>
          <w:rFonts w:ascii="Times New Roman" w:hAnsi="Times New Roman" w:cs="Times New Roman"/>
          <w:sz w:val="28"/>
          <w:szCs w:val="28"/>
        </w:rPr>
      </w:pPr>
      <w:r>
        <w:rPr>
          <w:rFonts w:ascii="Times New Roman" w:hAnsi="Times New Roman" w:cs="Times New Roman"/>
          <w:noProof/>
          <w:sz w:val="28"/>
          <w:szCs w:val="28"/>
        </w:rPr>
        <w:drawing>
          <wp:anchor distT="0" distB="0" distL="114300" distR="114300" simplePos="0" relativeHeight="251672576" behindDoc="0" locked="0" layoutInCell="1" allowOverlap="1" wp14:anchorId="0DAA2726" wp14:editId="53ACA748">
            <wp:simplePos x="0" y="0"/>
            <wp:positionH relativeFrom="column">
              <wp:posOffset>232198</wp:posOffset>
            </wp:positionH>
            <wp:positionV relativeFrom="paragraph">
              <wp:posOffset>-1871557</wp:posOffset>
            </wp:positionV>
            <wp:extent cx="5037455" cy="2049145"/>
            <wp:effectExtent l="0" t="0" r="0" b="8255"/>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37455" cy="2049145"/>
                    </a:xfrm>
                    <a:prstGeom prst="rect">
                      <a:avLst/>
                    </a:prstGeom>
                    <a:noFill/>
                    <a:ln>
                      <a:noFill/>
                    </a:ln>
                  </pic:spPr>
                </pic:pic>
              </a:graphicData>
            </a:graphic>
          </wp:anchor>
        </w:drawing>
      </w:r>
    </w:p>
    <w:p w14:paraId="5AD2C333"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Đối với nguồn vốn cho các Dự án hỗ trợ nhà ở được đầu tư xây dựng và mua bởi Chính quyền địa phương: Chính quyền địa phương và Chính phủ chia sẻ hỗ trợ 50% chi phí xây dựng, trái phiếu địa phương được chi trả cho tiền đất.</w:t>
      </w:r>
    </w:p>
    <w:p w14:paraId="62975511"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Đối với nguồn vốn hỗ trợ tiền thuê nhà: tiền thuê được giảm theo mức thu nhập của người thuê, địa điểm và quy mô của căn hộ. Chính phủ và chính quyền địa phương sẽ đón góp mỗi bên khoảng 50% mức hỗ trợ.</w:t>
      </w:r>
      <w:r>
        <w:rPr>
          <w:rFonts w:ascii="Times New Roman" w:hAnsi="Times New Roman" w:cs="Times New Roman"/>
          <w:noProof/>
        </w:rPr>
        <w:t xml:space="preserve"> </w:t>
      </w:r>
    </w:p>
    <w:p w14:paraId="62A74956"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Mặt khác, Chính phủ Nhật Bản còn được hỗ trợ về nhà ở cho cán bộ công chức, viên chức được bao gồm trong các khoản phụ cấp ngoài lương. Hỗ trợ về nhà ở năm 2000 cho cán bộ công chức Nhật Bản tối đa không quá 27,000 JPY/ năm. Mức phụ cấp về nhà ở này tương đương khoảng 6% tổng phụ cấp và tương đương khoảng 1% tổng thu nhập hàng tháng; cụ thể là:</w:t>
      </w:r>
    </w:p>
    <w:p w14:paraId="46B5521E" w14:textId="77777777" w:rsidR="00692C69" w:rsidRDefault="0013194A">
      <w:pPr>
        <w:spacing w:after="0" w:line="360" w:lineRule="exact"/>
        <w:ind w:firstLine="360"/>
        <w:jc w:val="both"/>
        <w:rPr>
          <w:rFonts w:ascii="Times New Roman" w:hAnsi="Times New Roman" w:cs="Times New Roman"/>
          <w:i/>
          <w:sz w:val="28"/>
          <w:szCs w:val="28"/>
        </w:rPr>
      </w:pPr>
      <w:r>
        <w:rPr>
          <w:rFonts w:ascii="Times New Roman" w:hAnsi="Times New Roman" w:cs="Times New Roman"/>
          <w:b/>
          <w:sz w:val="28"/>
          <w:szCs w:val="28"/>
        </w:rPr>
        <w:t>Mức lương và phụ cấp trung bình của Cán bộ công chức Nhật Bản (JPY)</w:t>
      </w:r>
      <w:r>
        <w:rPr>
          <w:rFonts w:ascii="Times New Roman" w:hAnsi="Times New Roman" w:cs="Times New Roman"/>
          <w:sz w:val="28"/>
          <w:szCs w:val="28"/>
        </w:rPr>
        <w:t xml:space="preserve">               </w:t>
      </w:r>
    </w:p>
    <w:tbl>
      <w:tblPr>
        <w:tblW w:w="89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08"/>
        <w:gridCol w:w="2339"/>
        <w:gridCol w:w="2339"/>
        <w:gridCol w:w="2339"/>
      </w:tblGrid>
      <w:tr w:rsidR="00692C69" w14:paraId="34737C6D" w14:textId="77777777">
        <w:trPr>
          <w:trHeight w:val="424"/>
          <w:jc w:val="center"/>
        </w:trPr>
        <w:tc>
          <w:tcPr>
            <w:tcW w:w="1908" w:type="dxa"/>
            <w:shd w:val="clear" w:color="auto" w:fill="auto"/>
          </w:tcPr>
          <w:p w14:paraId="351C15A0" w14:textId="77777777" w:rsidR="00692C69" w:rsidRDefault="00692C69">
            <w:pPr>
              <w:spacing w:after="0" w:line="360" w:lineRule="exact"/>
              <w:jc w:val="both"/>
              <w:rPr>
                <w:rFonts w:ascii="Times New Roman" w:hAnsi="Times New Roman" w:cs="Times New Roman"/>
                <w:sz w:val="24"/>
                <w:szCs w:val="24"/>
              </w:rPr>
            </w:pPr>
          </w:p>
        </w:tc>
        <w:tc>
          <w:tcPr>
            <w:tcW w:w="2339" w:type="dxa"/>
            <w:shd w:val="clear" w:color="auto" w:fill="auto"/>
          </w:tcPr>
          <w:p w14:paraId="117674F8" w14:textId="77777777" w:rsidR="00692C69" w:rsidRDefault="0013194A">
            <w:pPr>
              <w:spacing w:after="0" w:line="360" w:lineRule="exact"/>
              <w:jc w:val="both"/>
              <w:rPr>
                <w:rFonts w:ascii="Times New Roman" w:hAnsi="Times New Roman" w:cs="Times New Roman"/>
                <w:b/>
                <w:sz w:val="24"/>
                <w:szCs w:val="24"/>
              </w:rPr>
            </w:pPr>
            <w:r>
              <w:rPr>
                <w:rFonts w:ascii="Times New Roman" w:hAnsi="Times New Roman" w:cs="Times New Roman"/>
                <w:b/>
                <w:sz w:val="24"/>
                <w:szCs w:val="24"/>
              </w:rPr>
              <w:t>1995</w:t>
            </w:r>
          </w:p>
        </w:tc>
        <w:tc>
          <w:tcPr>
            <w:tcW w:w="2339" w:type="dxa"/>
            <w:shd w:val="clear" w:color="auto" w:fill="auto"/>
          </w:tcPr>
          <w:p w14:paraId="0871F968" w14:textId="77777777" w:rsidR="00692C69" w:rsidRDefault="0013194A">
            <w:pPr>
              <w:spacing w:after="0" w:line="360" w:lineRule="exact"/>
              <w:jc w:val="both"/>
              <w:rPr>
                <w:rFonts w:ascii="Times New Roman" w:hAnsi="Times New Roman" w:cs="Times New Roman"/>
                <w:b/>
                <w:sz w:val="24"/>
                <w:szCs w:val="24"/>
              </w:rPr>
            </w:pPr>
            <w:r>
              <w:rPr>
                <w:rFonts w:ascii="Times New Roman" w:hAnsi="Times New Roman" w:cs="Times New Roman"/>
                <w:b/>
                <w:sz w:val="24"/>
                <w:szCs w:val="24"/>
              </w:rPr>
              <w:t>1997</w:t>
            </w:r>
          </w:p>
        </w:tc>
        <w:tc>
          <w:tcPr>
            <w:tcW w:w="2339" w:type="dxa"/>
            <w:shd w:val="clear" w:color="auto" w:fill="auto"/>
          </w:tcPr>
          <w:p w14:paraId="1779BDCF" w14:textId="77777777" w:rsidR="00692C69" w:rsidRDefault="0013194A">
            <w:pPr>
              <w:spacing w:after="0" w:line="360" w:lineRule="exact"/>
              <w:jc w:val="both"/>
              <w:rPr>
                <w:rFonts w:ascii="Times New Roman" w:hAnsi="Times New Roman" w:cs="Times New Roman"/>
                <w:b/>
                <w:sz w:val="24"/>
                <w:szCs w:val="24"/>
              </w:rPr>
            </w:pPr>
            <w:r>
              <w:rPr>
                <w:rFonts w:ascii="Times New Roman" w:hAnsi="Times New Roman" w:cs="Times New Roman"/>
                <w:b/>
                <w:sz w:val="24"/>
                <w:szCs w:val="24"/>
              </w:rPr>
              <w:t>1999</w:t>
            </w:r>
          </w:p>
        </w:tc>
      </w:tr>
      <w:tr w:rsidR="00692C69" w14:paraId="6F19BBC3" w14:textId="77777777">
        <w:trPr>
          <w:trHeight w:val="424"/>
          <w:jc w:val="center"/>
        </w:trPr>
        <w:tc>
          <w:tcPr>
            <w:tcW w:w="1908" w:type="dxa"/>
            <w:shd w:val="clear" w:color="auto" w:fill="auto"/>
          </w:tcPr>
          <w:p w14:paraId="4D792D5A"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Lương cơ bản</w:t>
            </w:r>
          </w:p>
        </w:tc>
        <w:tc>
          <w:tcPr>
            <w:tcW w:w="2339" w:type="dxa"/>
            <w:shd w:val="clear" w:color="auto" w:fill="auto"/>
          </w:tcPr>
          <w:p w14:paraId="3CCDA1AC"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323.292</w:t>
            </w:r>
          </w:p>
        </w:tc>
        <w:tc>
          <w:tcPr>
            <w:tcW w:w="2339" w:type="dxa"/>
            <w:shd w:val="clear" w:color="auto" w:fill="auto"/>
          </w:tcPr>
          <w:p w14:paraId="37C0245E"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337.365</w:t>
            </w:r>
          </w:p>
        </w:tc>
        <w:tc>
          <w:tcPr>
            <w:tcW w:w="2339" w:type="dxa"/>
            <w:shd w:val="clear" w:color="auto" w:fill="auto"/>
          </w:tcPr>
          <w:p w14:paraId="613FFEAA"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351.755</w:t>
            </w:r>
          </w:p>
        </w:tc>
      </w:tr>
      <w:tr w:rsidR="00692C69" w14:paraId="409F1122" w14:textId="77777777">
        <w:trPr>
          <w:trHeight w:val="424"/>
          <w:jc w:val="center"/>
        </w:trPr>
        <w:tc>
          <w:tcPr>
            <w:tcW w:w="1908" w:type="dxa"/>
            <w:shd w:val="clear" w:color="auto" w:fill="auto"/>
          </w:tcPr>
          <w:p w14:paraId="49451948"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lastRenderedPageBreak/>
              <w:t>Phụ cấp gia đình</w:t>
            </w:r>
          </w:p>
        </w:tc>
        <w:tc>
          <w:tcPr>
            <w:tcW w:w="2339" w:type="dxa"/>
            <w:shd w:val="clear" w:color="auto" w:fill="auto"/>
          </w:tcPr>
          <w:p w14:paraId="7AE7B94B"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12.038</w:t>
            </w:r>
          </w:p>
        </w:tc>
        <w:tc>
          <w:tcPr>
            <w:tcW w:w="2339" w:type="dxa"/>
            <w:shd w:val="clear" w:color="auto" w:fill="auto"/>
          </w:tcPr>
          <w:p w14:paraId="26BC5FCB"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12.145</w:t>
            </w:r>
          </w:p>
        </w:tc>
        <w:tc>
          <w:tcPr>
            <w:tcW w:w="2339" w:type="dxa"/>
            <w:shd w:val="clear" w:color="auto" w:fill="auto"/>
          </w:tcPr>
          <w:p w14:paraId="23B3B7CE"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12.635</w:t>
            </w:r>
          </w:p>
        </w:tc>
      </w:tr>
      <w:tr w:rsidR="00692C69" w14:paraId="47243C2B" w14:textId="77777777">
        <w:trPr>
          <w:trHeight w:val="424"/>
          <w:jc w:val="center"/>
        </w:trPr>
        <w:tc>
          <w:tcPr>
            <w:tcW w:w="1908" w:type="dxa"/>
            <w:shd w:val="clear" w:color="auto" w:fill="auto"/>
          </w:tcPr>
          <w:p w14:paraId="31612124"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Phụ cấp thành phố</w:t>
            </w:r>
          </w:p>
        </w:tc>
        <w:tc>
          <w:tcPr>
            <w:tcW w:w="2339" w:type="dxa"/>
            <w:shd w:val="clear" w:color="auto" w:fill="auto"/>
          </w:tcPr>
          <w:p w14:paraId="7641291B"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18.266</w:t>
            </w:r>
          </w:p>
        </w:tc>
        <w:tc>
          <w:tcPr>
            <w:tcW w:w="2339" w:type="dxa"/>
            <w:shd w:val="clear" w:color="auto" w:fill="auto"/>
          </w:tcPr>
          <w:p w14:paraId="3CD2F881"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19.237</w:t>
            </w:r>
          </w:p>
        </w:tc>
        <w:tc>
          <w:tcPr>
            <w:tcW w:w="2339" w:type="dxa"/>
            <w:shd w:val="clear" w:color="auto" w:fill="auto"/>
          </w:tcPr>
          <w:p w14:paraId="049444E8"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20.226</w:t>
            </w:r>
          </w:p>
        </w:tc>
      </w:tr>
      <w:tr w:rsidR="00692C69" w14:paraId="39522C44" w14:textId="77777777">
        <w:trPr>
          <w:trHeight w:val="424"/>
          <w:jc w:val="center"/>
        </w:trPr>
        <w:tc>
          <w:tcPr>
            <w:tcW w:w="1908" w:type="dxa"/>
            <w:shd w:val="clear" w:color="auto" w:fill="auto"/>
          </w:tcPr>
          <w:p w14:paraId="542506D3"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Phụ cấp nhà ở</w:t>
            </w:r>
          </w:p>
        </w:tc>
        <w:tc>
          <w:tcPr>
            <w:tcW w:w="2339" w:type="dxa"/>
            <w:shd w:val="clear" w:color="auto" w:fill="auto"/>
          </w:tcPr>
          <w:p w14:paraId="2B83B840"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3.401</w:t>
            </w:r>
          </w:p>
        </w:tc>
        <w:tc>
          <w:tcPr>
            <w:tcW w:w="2339" w:type="dxa"/>
            <w:shd w:val="clear" w:color="auto" w:fill="auto"/>
          </w:tcPr>
          <w:p w14:paraId="774042CB"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3.662</w:t>
            </w:r>
          </w:p>
        </w:tc>
        <w:tc>
          <w:tcPr>
            <w:tcW w:w="2339" w:type="dxa"/>
            <w:shd w:val="clear" w:color="auto" w:fill="auto"/>
          </w:tcPr>
          <w:p w14:paraId="774F53E3"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3.854</w:t>
            </w:r>
          </w:p>
        </w:tc>
      </w:tr>
      <w:tr w:rsidR="00692C69" w14:paraId="298CE4EF" w14:textId="77777777">
        <w:trPr>
          <w:trHeight w:val="435"/>
          <w:jc w:val="center"/>
        </w:trPr>
        <w:tc>
          <w:tcPr>
            <w:tcW w:w="1908" w:type="dxa"/>
            <w:shd w:val="clear" w:color="auto" w:fill="auto"/>
          </w:tcPr>
          <w:p w14:paraId="20790FD6"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Phụ cấp đi lại</w:t>
            </w:r>
          </w:p>
        </w:tc>
        <w:tc>
          <w:tcPr>
            <w:tcW w:w="2339" w:type="dxa"/>
            <w:shd w:val="clear" w:color="auto" w:fill="auto"/>
          </w:tcPr>
          <w:p w14:paraId="5F614421"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10.638</w:t>
            </w:r>
          </w:p>
        </w:tc>
        <w:tc>
          <w:tcPr>
            <w:tcW w:w="2339" w:type="dxa"/>
            <w:shd w:val="clear" w:color="auto" w:fill="auto"/>
          </w:tcPr>
          <w:p w14:paraId="317F9974"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11.123</w:t>
            </w:r>
          </w:p>
        </w:tc>
        <w:tc>
          <w:tcPr>
            <w:tcW w:w="2339" w:type="dxa"/>
            <w:shd w:val="clear" w:color="auto" w:fill="auto"/>
          </w:tcPr>
          <w:p w14:paraId="072ECD76"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11.199</w:t>
            </w:r>
          </w:p>
        </w:tc>
      </w:tr>
      <w:tr w:rsidR="00692C69" w14:paraId="66C9197F" w14:textId="77777777">
        <w:trPr>
          <w:trHeight w:val="424"/>
          <w:jc w:val="center"/>
        </w:trPr>
        <w:tc>
          <w:tcPr>
            <w:tcW w:w="1908" w:type="dxa"/>
            <w:shd w:val="clear" w:color="auto" w:fill="auto"/>
          </w:tcPr>
          <w:p w14:paraId="1D378017"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Phụ cấp khác</w:t>
            </w:r>
          </w:p>
        </w:tc>
        <w:tc>
          <w:tcPr>
            <w:tcW w:w="2339" w:type="dxa"/>
            <w:shd w:val="clear" w:color="auto" w:fill="auto"/>
          </w:tcPr>
          <w:p w14:paraId="7539AEF8"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6.262</w:t>
            </w:r>
          </w:p>
        </w:tc>
        <w:tc>
          <w:tcPr>
            <w:tcW w:w="2339" w:type="dxa"/>
            <w:shd w:val="clear" w:color="auto" w:fill="auto"/>
          </w:tcPr>
          <w:p w14:paraId="40FA5E46"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6.112</w:t>
            </w:r>
          </w:p>
        </w:tc>
        <w:tc>
          <w:tcPr>
            <w:tcW w:w="2339" w:type="dxa"/>
            <w:shd w:val="clear" w:color="auto" w:fill="auto"/>
          </w:tcPr>
          <w:p w14:paraId="5FFF78C5" w14:textId="77777777" w:rsidR="00692C69" w:rsidRDefault="0013194A">
            <w:pPr>
              <w:spacing w:after="0" w:line="360" w:lineRule="exact"/>
              <w:jc w:val="both"/>
              <w:rPr>
                <w:rFonts w:ascii="Times New Roman" w:hAnsi="Times New Roman" w:cs="Times New Roman"/>
                <w:sz w:val="24"/>
                <w:szCs w:val="24"/>
              </w:rPr>
            </w:pPr>
            <w:r>
              <w:rPr>
                <w:rFonts w:ascii="Times New Roman" w:hAnsi="Times New Roman" w:cs="Times New Roman"/>
                <w:sz w:val="24"/>
                <w:szCs w:val="24"/>
              </w:rPr>
              <w:t>6.133</w:t>
            </w:r>
          </w:p>
        </w:tc>
      </w:tr>
      <w:tr w:rsidR="00692C69" w14:paraId="598A4AB7" w14:textId="77777777">
        <w:trPr>
          <w:trHeight w:val="260"/>
          <w:jc w:val="center"/>
        </w:trPr>
        <w:tc>
          <w:tcPr>
            <w:tcW w:w="1908" w:type="dxa"/>
            <w:shd w:val="clear" w:color="auto" w:fill="auto"/>
          </w:tcPr>
          <w:p w14:paraId="4BE4079C" w14:textId="77777777" w:rsidR="00692C69" w:rsidRDefault="0013194A">
            <w:pPr>
              <w:spacing w:after="0" w:line="360" w:lineRule="exact"/>
              <w:jc w:val="both"/>
              <w:rPr>
                <w:rFonts w:ascii="Times New Roman" w:hAnsi="Times New Roman" w:cs="Times New Roman"/>
                <w:b/>
                <w:sz w:val="24"/>
                <w:szCs w:val="24"/>
              </w:rPr>
            </w:pPr>
            <w:r>
              <w:rPr>
                <w:rFonts w:ascii="Times New Roman" w:hAnsi="Times New Roman" w:cs="Times New Roman"/>
                <w:b/>
                <w:sz w:val="24"/>
                <w:szCs w:val="24"/>
              </w:rPr>
              <w:t>Tổng số</w:t>
            </w:r>
          </w:p>
        </w:tc>
        <w:tc>
          <w:tcPr>
            <w:tcW w:w="2339" w:type="dxa"/>
            <w:shd w:val="clear" w:color="auto" w:fill="auto"/>
          </w:tcPr>
          <w:p w14:paraId="0604C9C9" w14:textId="77777777" w:rsidR="00692C69" w:rsidRDefault="0013194A">
            <w:pPr>
              <w:spacing w:after="0" w:line="360" w:lineRule="exact"/>
              <w:jc w:val="both"/>
              <w:rPr>
                <w:rFonts w:ascii="Times New Roman" w:hAnsi="Times New Roman" w:cs="Times New Roman"/>
                <w:b/>
                <w:sz w:val="24"/>
                <w:szCs w:val="24"/>
              </w:rPr>
            </w:pPr>
            <w:r>
              <w:rPr>
                <w:rFonts w:ascii="Times New Roman" w:hAnsi="Times New Roman" w:cs="Times New Roman"/>
                <w:b/>
                <w:sz w:val="24"/>
                <w:szCs w:val="24"/>
              </w:rPr>
              <w:t>373.897</w:t>
            </w:r>
          </w:p>
        </w:tc>
        <w:tc>
          <w:tcPr>
            <w:tcW w:w="2339" w:type="dxa"/>
            <w:shd w:val="clear" w:color="auto" w:fill="auto"/>
          </w:tcPr>
          <w:p w14:paraId="00BDDCE5" w14:textId="77777777" w:rsidR="00692C69" w:rsidRDefault="0013194A">
            <w:pPr>
              <w:spacing w:after="0" w:line="360" w:lineRule="exact"/>
              <w:jc w:val="both"/>
              <w:rPr>
                <w:rFonts w:ascii="Times New Roman" w:hAnsi="Times New Roman" w:cs="Times New Roman"/>
                <w:b/>
                <w:sz w:val="24"/>
                <w:szCs w:val="24"/>
              </w:rPr>
            </w:pPr>
            <w:r>
              <w:rPr>
                <w:rFonts w:ascii="Times New Roman" w:hAnsi="Times New Roman" w:cs="Times New Roman"/>
                <w:b/>
                <w:sz w:val="24"/>
                <w:szCs w:val="24"/>
              </w:rPr>
              <w:t>389.644</w:t>
            </w:r>
          </w:p>
        </w:tc>
        <w:tc>
          <w:tcPr>
            <w:tcW w:w="2339" w:type="dxa"/>
            <w:shd w:val="clear" w:color="auto" w:fill="auto"/>
          </w:tcPr>
          <w:p w14:paraId="0ECFEB80" w14:textId="77777777" w:rsidR="00692C69" w:rsidRDefault="0013194A">
            <w:pPr>
              <w:spacing w:after="0" w:line="360" w:lineRule="exact"/>
              <w:jc w:val="both"/>
              <w:rPr>
                <w:rFonts w:ascii="Times New Roman" w:hAnsi="Times New Roman" w:cs="Times New Roman"/>
                <w:b/>
                <w:sz w:val="24"/>
                <w:szCs w:val="24"/>
              </w:rPr>
            </w:pPr>
            <w:r>
              <w:rPr>
                <w:rFonts w:ascii="Times New Roman" w:hAnsi="Times New Roman" w:cs="Times New Roman"/>
                <w:b/>
                <w:sz w:val="24"/>
                <w:szCs w:val="24"/>
              </w:rPr>
              <w:t>405.802</w:t>
            </w:r>
          </w:p>
        </w:tc>
      </w:tr>
    </w:tbl>
    <w:p w14:paraId="2961432F" w14:textId="77777777" w:rsidR="00692C69" w:rsidRDefault="0013194A">
      <w:pPr>
        <w:spacing w:after="0" w:line="360" w:lineRule="exact"/>
        <w:ind w:left="3600" w:firstLine="720"/>
        <w:jc w:val="both"/>
        <w:rPr>
          <w:rFonts w:ascii="Times New Roman" w:hAnsi="Times New Roman" w:cs="Times New Roman"/>
          <w:i/>
          <w:sz w:val="24"/>
          <w:szCs w:val="24"/>
        </w:rPr>
      </w:pPr>
      <w:r>
        <w:rPr>
          <w:rFonts w:ascii="Times New Roman" w:hAnsi="Times New Roman" w:cs="Times New Roman"/>
          <w:i/>
          <w:sz w:val="24"/>
          <w:szCs w:val="24"/>
        </w:rPr>
        <w:t>(Nguồn: Cơ sở dữ liệu Quốc gia Nhật Bản 2010)</w:t>
      </w:r>
    </w:p>
    <w:p w14:paraId="135B2510" w14:textId="77777777" w:rsidR="00692C69" w:rsidRDefault="00692C69">
      <w:pPr>
        <w:spacing w:after="0" w:line="360" w:lineRule="exact"/>
        <w:ind w:firstLine="720"/>
        <w:jc w:val="both"/>
        <w:rPr>
          <w:rFonts w:ascii="Times New Roman" w:hAnsi="Times New Roman" w:cs="Times New Roman"/>
          <w:sz w:val="28"/>
          <w:szCs w:val="28"/>
        </w:rPr>
      </w:pPr>
    </w:p>
    <w:p w14:paraId="2AA99920"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Mức hỗ trợ này tăng dần, đặc biệt là đối với các cán bộ công chức có trình độ đào tạo cao hơn. Ngoài ra, mức trợ cấp cũng tăng phụ thuộc vào số năm làm việc của cán bộ công chức. Cụ thể như sau:</w:t>
      </w:r>
    </w:p>
    <w:p w14:paraId="476430F3" w14:textId="77777777" w:rsidR="00692C69" w:rsidRDefault="0013194A">
      <w:pPr>
        <w:spacing w:after="0" w:line="360" w:lineRule="exact"/>
        <w:jc w:val="both"/>
        <w:rPr>
          <w:rFonts w:ascii="Times New Roman" w:hAnsi="Times New Roman" w:cs="Times New Roman"/>
          <w:noProof/>
        </w:rPr>
      </w:pPr>
      <w:r>
        <w:rPr>
          <w:rFonts w:ascii="Times New Roman" w:hAnsi="Times New Roman" w:cs="Times New Roman"/>
          <w:noProof/>
        </w:rPr>
        <w:t xml:space="preserve">                        </w:t>
      </w:r>
    </w:p>
    <w:p w14:paraId="69B6A953" w14:textId="77777777" w:rsidR="00692C69" w:rsidRDefault="0013194A">
      <w:pPr>
        <w:spacing w:after="0" w:line="360" w:lineRule="exact"/>
        <w:jc w:val="both"/>
        <w:rPr>
          <w:rFonts w:ascii="Times New Roman" w:hAnsi="Times New Roman" w:cs="Times New Roman"/>
          <w:noProof/>
        </w:rPr>
      </w:pPr>
      <w:r>
        <w:rPr>
          <w:rFonts w:ascii="Times New Roman" w:hAnsi="Times New Roman" w:cs="Times New Roman"/>
          <w:noProof/>
        </w:rPr>
        <w:drawing>
          <wp:anchor distT="0" distB="0" distL="114300" distR="114300" simplePos="0" relativeHeight="251671552" behindDoc="0" locked="0" layoutInCell="1" allowOverlap="1" wp14:anchorId="219A6421" wp14:editId="3AFFF9D7">
            <wp:simplePos x="0" y="0"/>
            <wp:positionH relativeFrom="column">
              <wp:posOffset>993775</wp:posOffset>
            </wp:positionH>
            <wp:positionV relativeFrom="paragraph">
              <wp:posOffset>126153</wp:posOffset>
            </wp:positionV>
            <wp:extent cx="4335145" cy="3039745"/>
            <wp:effectExtent l="0" t="0" r="8255" b="8255"/>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35145" cy="3039745"/>
                    </a:xfrm>
                    <a:prstGeom prst="rect">
                      <a:avLst/>
                    </a:prstGeom>
                    <a:noFill/>
                    <a:ln>
                      <a:noFill/>
                    </a:ln>
                  </pic:spPr>
                </pic:pic>
              </a:graphicData>
            </a:graphic>
          </wp:anchor>
        </w:drawing>
      </w:r>
    </w:p>
    <w:p w14:paraId="1F8AC732" w14:textId="77777777" w:rsidR="00692C69" w:rsidRDefault="00692C69">
      <w:pPr>
        <w:spacing w:after="0" w:line="360" w:lineRule="exact"/>
        <w:jc w:val="both"/>
        <w:rPr>
          <w:rFonts w:ascii="Times New Roman" w:hAnsi="Times New Roman" w:cs="Times New Roman"/>
          <w:noProof/>
        </w:rPr>
      </w:pPr>
    </w:p>
    <w:p w14:paraId="2A088E2D" w14:textId="77777777" w:rsidR="00692C69" w:rsidRDefault="00692C69">
      <w:pPr>
        <w:spacing w:after="0" w:line="360" w:lineRule="exact"/>
        <w:jc w:val="both"/>
        <w:rPr>
          <w:rFonts w:ascii="Times New Roman" w:hAnsi="Times New Roman" w:cs="Times New Roman"/>
          <w:noProof/>
        </w:rPr>
      </w:pPr>
    </w:p>
    <w:p w14:paraId="254312FD" w14:textId="77777777" w:rsidR="00692C69" w:rsidRDefault="00692C69">
      <w:pPr>
        <w:spacing w:after="0" w:line="360" w:lineRule="exact"/>
        <w:jc w:val="both"/>
        <w:rPr>
          <w:rFonts w:ascii="Times New Roman" w:hAnsi="Times New Roman" w:cs="Times New Roman"/>
          <w:noProof/>
        </w:rPr>
      </w:pPr>
    </w:p>
    <w:p w14:paraId="193C480F" w14:textId="77777777" w:rsidR="00692C69" w:rsidRDefault="00692C69">
      <w:pPr>
        <w:spacing w:after="0" w:line="360" w:lineRule="exact"/>
        <w:jc w:val="both"/>
        <w:rPr>
          <w:rFonts w:ascii="Times New Roman" w:hAnsi="Times New Roman" w:cs="Times New Roman"/>
          <w:noProof/>
        </w:rPr>
      </w:pPr>
    </w:p>
    <w:p w14:paraId="38A51A40" w14:textId="77777777" w:rsidR="00692C69" w:rsidRDefault="00692C69">
      <w:pPr>
        <w:spacing w:after="0" w:line="360" w:lineRule="exact"/>
        <w:jc w:val="both"/>
        <w:rPr>
          <w:rFonts w:ascii="Times New Roman" w:hAnsi="Times New Roman" w:cs="Times New Roman"/>
          <w:noProof/>
        </w:rPr>
      </w:pPr>
    </w:p>
    <w:p w14:paraId="30ECE8EF" w14:textId="77777777" w:rsidR="00692C69" w:rsidRDefault="00692C69">
      <w:pPr>
        <w:spacing w:after="0" w:line="360" w:lineRule="exact"/>
        <w:jc w:val="both"/>
        <w:rPr>
          <w:rFonts w:ascii="Times New Roman" w:hAnsi="Times New Roman" w:cs="Times New Roman"/>
          <w:noProof/>
        </w:rPr>
      </w:pPr>
    </w:p>
    <w:p w14:paraId="0BB0F0F2" w14:textId="77777777" w:rsidR="00692C69" w:rsidRDefault="00692C69">
      <w:pPr>
        <w:spacing w:after="0" w:line="360" w:lineRule="exact"/>
        <w:jc w:val="both"/>
        <w:rPr>
          <w:rFonts w:ascii="Times New Roman" w:hAnsi="Times New Roman" w:cs="Times New Roman"/>
          <w:noProof/>
        </w:rPr>
      </w:pPr>
    </w:p>
    <w:p w14:paraId="1E181868" w14:textId="77777777" w:rsidR="00692C69" w:rsidRDefault="00692C69">
      <w:pPr>
        <w:spacing w:after="0" w:line="360" w:lineRule="exact"/>
        <w:jc w:val="both"/>
        <w:rPr>
          <w:rFonts w:ascii="Times New Roman" w:hAnsi="Times New Roman" w:cs="Times New Roman"/>
          <w:noProof/>
        </w:rPr>
      </w:pPr>
    </w:p>
    <w:p w14:paraId="1D6D12DE" w14:textId="77777777" w:rsidR="00692C69" w:rsidRDefault="00692C69">
      <w:pPr>
        <w:spacing w:after="0" w:line="360" w:lineRule="exact"/>
        <w:jc w:val="both"/>
        <w:rPr>
          <w:rFonts w:ascii="Times New Roman" w:hAnsi="Times New Roman" w:cs="Times New Roman"/>
          <w:noProof/>
        </w:rPr>
      </w:pPr>
    </w:p>
    <w:p w14:paraId="7C799441" w14:textId="77777777" w:rsidR="00692C69" w:rsidRDefault="00692C69">
      <w:pPr>
        <w:spacing w:after="0" w:line="360" w:lineRule="exact"/>
        <w:jc w:val="both"/>
        <w:rPr>
          <w:rFonts w:ascii="Times New Roman" w:hAnsi="Times New Roman" w:cs="Times New Roman"/>
          <w:noProof/>
        </w:rPr>
      </w:pPr>
    </w:p>
    <w:p w14:paraId="5F397800" w14:textId="77777777" w:rsidR="00692C69" w:rsidRDefault="00692C69">
      <w:pPr>
        <w:spacing w:after="0" w:line="360" w:lineRule="exact"/>
        <w:jc w:val="both"/>
        <w:rPr>
          <w:rFonts w:ascii="Times New Roman" w:hAnsi="Times New Roman" w:cs="Times New Roman"/>
          <w:noProof/>
        </w:rPr>
      </w:pPr>
    </w:p>
    <w:p w14:paraId="3ABD718A" w14:textId="77777777" w:rsidR="00692C69" w:rsidRDefault="00692C69">
      <w:pPr>
        <w:spacing w:after="0" w:line="360" w:lineRule="exact"/>
        <w:jc w:val="both"/>
        <w:rPr>
          <w:rFonts w:ascii="Times New Roman" w:hAnsi="Times New Roman" w:cs="Times New Roman"/>
          <w:noProof/>
        </w:rPr>
      </w:pPr>
    </w:p>
    <w:p w14:paraId="10B9974C"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noProof/>
        </w:rPr>
        <w:t xml:space="preserve">   </w:t>
      </w:r>
    </w:p>
    <w:p w14:paraId="3AEE021F" w14:textId="77777777" w:rsidR="00692C69" w:rsidRDefault="0013194A">
      <w:pPr>
        <w:pStyle w:val="ListParagraph"/>
        <w:spacing w:after="0" w:line="360" w:lineRule="exact"/>
        <w:ind w:left="3960" w:firstLine="360"/>
        <w:contextualSpacing w:val="0"/>
        <w:jc w:val="both"/>
        <w:rPr>
          <w:rFonts w:ascii="Times New Roman" w:hAnsi="Times New Roman" w:cs="Times New Roman"/>
          <w:b/>
          <w:sz w:val="24"/>
          <w:szCs w:val="24"/>
        </w:rPr>
      </w:pPr>
      <w:r>
        <w:rPr>
          <w:rFonts w:ascii="Times New Roman" w:hAnsi="Times New Roman" w:cs="Times New Roman"/>
          <w:i/>
          <w:sz w:val="24"/>
          <w:szCs w:val="24"/>
        </w:rPr>
        <w:t>(Nguồn: Cơ sở dữ liệu Quốc gia Nhật Bản 2010)</w:t>
      </w:r>
    </w:p>
    <w:p w14:paraId="57D42BFD" w14:textId="77777777" w:rsidR="00692C69" w:rsidRDefault="0013194A">
      <w:pPr>
        <w:spacing w:after="0" w:line="360" w:lineRule="exact"/>
        <w:jc w:val="both"/>
        <w:rPr>
          <w:rFonts w:ascii="Times New Roman" w:hAnsi="Times New Roman" w:cs="Times New Roman"/>
          <w:i/>
          <w:iCs/>
          <w:sz w:val="28"/>
          <w:szCs w:val="28"/>
        </w:rPr>
      </w:pPr>
      <w:r>
        <w:rPr>
          <w:rFonts w:ascii="Times New Roman" w:hAnsi="Times New Roman" w:cs="Times New Roman"/>
          <w:i/>
          <w:iCs/>
          <w:sz w:val="28"/>
          <w:szCs w:val="28"/>
        </w:rPr>
        <w:tab/>
        <w:t xml:space="preserve">5.4. Anh Quốc </w:t>
      </w:r>
    </w:p>
    <w:p w14:paraId="01A862C1"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b/>
          <w:i/>
          <w:sz w:val="28"/>
          <w:szCs w:val="28"/>
        </w:rPr>
        <w:t>Cục Nhà ở xã hội:</w:t>
      </w:r>
      <w:r>
        <w:rPr>
          <w:rFonts w:ascii="Times New Roman" w:hAnsi="Times New Roman" w:cs="Times New Roman"/>
          <w:sz w:val="28"/>
          <w:szCs w:val="28"/>
        </w:rPr>
        <w:t xml:space="preserve"> là cơ quan của Chính phủ không trực tiếp xây dựng nhà ở xã hội mà phân phối vốn cho các Hiệp hội nhà ở xây dựng nhà ở xã hội và quản lý hoạt động của các Hiệp hội này như quản lý xây dựng, kiểm soát giá thuê nhà và đối tượng được thuê nhà, kiểm soát nhà trống. Trong năm 2009, Cục Nhà ở xã hội đã phân phối cho các Hiệp hội nhà ở khoảng 355 triệu bảng Anh (nâng tổng số tiền đã phân phối cho các Hiệp hội nhà ở lên đến 1,2 triệu bảng Anh) để xây dựng nhà ở xã hội và cung cấp được 51.095 nhà mới xây dựng.  Cục Nhà ở xã hội có 500 nhân viên làm việc tại 9 văn phòng tại các thành phố của Anh và 1 Trung tâm nghiên cứu - thu thập thông tin thị trường để nghiên cứu chính sách nhà ở, xây dựng các chương trình nhà ở và nghiên cứu thị trường nhà ở. </w:t>
      </w:r>
    </w:p>
    <w:p w14:paraId="33E1316C"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lastRenderedPageBreak/>
        <w:tab/>
        <w:t xml:space="preserve"> Hiệp hội nhà ở là các tổ chức phi lợi nhuận, xây dựng và quản lý quỹ nhà ở xã hội. Hiệp hội nhà ở được Chính phủ hỗ trợ vốn (chiếm đa số) thông qua Cục Nhà ở xã hội, phần còn lại được huy động từ ngân hàng, vốn tư nhân, tiền quyên góp từ Hội từ thiện và Tôn giáo…Mỗi địa phương đều có 1 Hiệp hội nhà ở hoạt động tại địa phương đó.</w:t>
      </w:r>
    </w:p>
    <w:p w14:paraId="6131D5A0" w14:textId="77777777" w:rsidR="00692C69" w:rsidRDefault="0013194A">
      <w:pPr>
        <w:spacing w:after="0" w:line="360" w:lineRule="exact"/>
        <w:ind w:firstLine="720"/>
        <w:jc w:val="both"/>
        <w:rPr>
          <w:rFonts w:ascii="Times New Roman" w:hAnsi="Times New Roman" w:cs="Times New Roman"/>
          <w:bCs/>
          <w:i/>
          <w:iCs/>
          <w:sz w:val="28"/>
          <w:szCs w:val="28"/>
        </w:rPr>
      </w:pPr>
      <w:r>
        <w:rPr>
          <w:rFonts w:ascii="Times New Roman" w:eastAsia="Times New Roman" w:hAnsi="Times New Roman" w:cs="Times New Roman"/>
          <w:bCs/>
          <w:i/>
          <w:iCs/>
          <w:color w:val="000000"/>
          <w:sz w:val="28"/>
          <w:szCs w:val="28"/>
        </w:rPr>
        <w:t>5.5. Thái Lan</w:t>
      </w:r>
    </w:p>
    <w:p w14:paraId="4FDD34DA"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Chính phủ Thái Lan, ngoài chính sách ưu đãi chung đối với việc xây dựng nhà ở xã hội thì đã có phân loại hỗ trợ trong chính sách tài chính nhà ở đối với người thu nhập thấp, trong đó, Chính phủ Thái Lan đã thiết kế một chương trình cho vay đối với các công chức, người làm việc trong cơ quan chính phủ bắt đầu tư năm 2001. Ngân hàng Nhà ở Chính phủ (the government housing bank) đã hợp tác với quỹ Lương hưu chính phủ (the government pension fund) và một số cơ quan khác để thực hiện các khoản vay này. </w:t>
      </w:r>
    </w:p>
    <w:p w14:paraId="7441698E"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Ngân hàng Nhà ở đã giảm điều kiện cho vay bằng cách cho vay với tỷ lệ lên đến 100% giá trị căn hộ. Đồng thời, quỹ lương hưu Chính phủ đã thực hiện khấu trừ tại nguồn các khoản tiền thanh toán từ tiền lương của cán bộ, công chức. Theo chương trình này, cán bộ, công chức có thể vay số tiền lên đến 65 tổng thu nhập hàng tháng của họ (so với mức 30-35 lần với điều kiện vay thông thường) và tiêu chí trả hàng tháng có thể lên đến 50% tổng lương hàng tháng (so với mức giới hạn bình thường là 30% của mức lương ròng hàng tháng). Các mức lãi suất cố định 3 năm là 4,5% và lãi suất sau 3 năm là lãi suất cố định 3 năm của NHNN cộng thêm 0,75%.</w:t>
      </w:r>
    </w:p>
    <w:p w14:paraId="0C7B6F0A"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5.6. </w:t>
      </w:r>
      <w:r>
        <w:rPr>
          <w:rFonts w:ascii="Times New Roman" w:eastAsia="Times New Roman" w:hAnsi="Times New Roman" w:cs="Times New Roman"/>
          <w:i/>
          <w:iCs/>
          <w:color w:val="000000"/>
          <w:sz w:val="28"/>
          <w:szCs w:val="28"/>
        </w:rPr>
        <w:t>Indonesia</w:t>
      </w:r>
    </w:p>
    <w:p w14:paraId="765F8F3F"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Chính sách trợ cấp nhà ở: trường hợp cán bộ công chức được điều chuyển đến địa phương mới mà tại nơi đó Chính phủ không bố trí được nhà công vụ cho họ thì có thể đổi sang hình thức trợ cấp bằng tiền, tương đương 2 triệu đến 3 triệu Rh.</w:t>
      </w:r>
    </w:p>
    <w:p w14:paraId="4B076211"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Trợ cấp nhà ở này nằm trong các khoản phụ cấp ngoài lương và được phân bổ đồng đều giữa các công chức, ngoại trừ lực lượng vũ trang và cán bộ công chức đã nghỉ hưu.</w:t>
      </w:r>
    </w:p>
    <w:p w14:paraId="7549FB84"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5.7. Philippines</w:t>
      </w:r>
    </w:p>
    <w:p w14:paraId="3242F2E3"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Trợ cấp nhà ở cho công chức tại Philippines chủ yếu thông qua cung cấp các khoản vay mua nhà ở từ hệ thống cung cấp dịch vụ nhà ở của Chính phủ, hoặc thông qua Quỹ bảo hiểm. </w:t>
      </w:r>
    </w:p>
    <w:p w14:paraId="4D6CB2B9"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5.8. Hồng Kông </w:t>
      </w:r>
    </w:p>
    <w:p w14:paraId="5E114F41"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Hiện nay, việc hỗ trợ nhà ở cho cán bộ công chức tại địa phương của Hồng Kông được chia làm nhiều chương trình với mức hỗ trợ khác nhau; cụ thể là:</w:t>
      </w:r>
    </w:p>
    <w:p w14:paraId="591A479B"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Chương trình hỗ trợ RAS: chi trả 100% tiền thuê nhà ở cho các cán bộ công chức địa phương được bổ nhiệm sau năm 1999 và đủ điều kiện tham gia chương trình RAS (tối đa không quá 120 tháng).</w:t>
      </w:r>
    </w:p>
    <w:p w14:paraId="6039DABA"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 Chương trình HPS: hỗ trợ cho các cán bộ có đủ điều kiện để mua nhà vĩnh viễn tại Hồng Kông.</w:t>
      </w:r>
    </w:p>
    <w:p w14:paraId="2688EE1C"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CSPHQ: cung cấp các lựa chọn nhà ở khác nhau cho cán bộ công chức tại địa phương (ví dụ: căn hộ cho thuê công cộng, căn hộ để bán, chương trình cho vay mua hoặc thuê nhà ở). Hạn ngạch của CSPHQ phải được xem xét hàng năm.</w:t>
      </w:r>
    </w:p>
    <w:p w14:paraId="6E236828" w14:textId="77777777" w:rsidR="00692C69" w:rsidRDefault="0013194A">
      <w:pPr>
        <w:spacing w:after="0" w:line="360" w:lineRule="exact"/>
        <w:jc w:val="both"/>
        <w:rPr>
          <w:rFonts w:ascii="Times New Roman" w:hAnsi="Times New Roman" w:cs="Times New Roman"/>
          <w:i/>
          <w:iCs/>
          <w:sz w:val="28"/>
          <w:szCs w:val="28"/>
        </w:rPr>
      </w:pPr>
      <w:r>
        <w:rPr>
          <w:rFonts w:ascii="Times New Roman" w:hAnsi="Times New Roman" w:cs="Times New Roman"/>
          <w:i/>
          <w:iCs/>
          <w:sz w:val="28"/>
          <w:szCs w:val="28"/>
        </w:rPr>
        <w:tab/>
        <w:t xml:space="preserve">5.9. Mỹ </w:t>
      </w:r>
    </w:p>
    <w:p w14:paraId="5F5FCB61" w14:textId="77777777" w:rsidR="00692C69" w:rsidRDefault="0013194A">
      <w:pPr>
        <w:spacing w:after="0" w:line="360" w:lineRule="exact"/>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6. Tài chính cho phát triển nhà ở </w:t>
      </w:r>
    </w:p>
    <w:p w14:paraId="790A2406" w14:textId="77777777" w:rsidR="00692C69" w:rsidRDefault="0013194A">
      <w:pPr>
        <w:spacing w:after="0" w:line="360" w:lineRule="exact"/>
        <w:ind w:firstLine="720"/>
        <w:jc w:val="both"/>
        <w:rPr>
          <w:rFonts w:ascii="Times New Roman" w:hAnsi="Times New Roman" w:cs="Times New Roman"/>
          <w:b/>
          <w:bCs/>
          <w:i/>
          <w:iCs/>
          <w:sz w:val="28"/>
          <w:szCs w:val="28"/>
        </w:rPr>
      </w:pPr>
      <w:r>
        <w:rPr>
          <w:rFonts w:ascii="Times New Roman" w:hAnsi="Times New Roman" w:cs="Times New Roman"/>
          <w:sz w:val="28"/>
          <w:szCs w:val="28"/>
        </w:rPr>
        <w:t>Tại các quốc gia, việc huy động vốn cho thị trường BĐS rất đa dạng. Thực tiễn, vốn cho thị trường BĐS được cung cấp qua các kênh chính sau: (i) Kênh tín dụng từ các ngân hàng thương mại; (ii) Kênh thông qua hệ thống thế chấp và tái thế chấp trong hệ thống ngân hàng. (iii) Kênh tiết kiệm BĐS; (iv) Kênh thông qua trái phiếu, cổ phiếu BĐS; (v) Kênh thông qua các quỹ đầu tư (nổi bật có quỹ đầu tư tín thác BĐS- Real Estate Investment Trust - REITs).</w:t>
      </w:r>
    </w:p>
    <w:p w14:paraId="1514E794" w14:textId="77777777" w:rsidR="00692C69" w:rsidRDefault="0013194A">
      <w:pPr>
        <w:spacing w:after="0" w:line="360" w:lineRule="exact"/>
        <w:ind w:firstLine="720"/>
        <w:jc w:val="both"/>
        <w:rPr>
          <w:rFonts w:ascii="Times New Roman" w:hAnsi="Times New Roman" w:cs="Times New Roman"/>
          <w:b/>
          <w:bCs/>
          <w:i/>
          <w:iCs/>
          <w:sz w:val="28"/>
          <w:szCs w:val="28"/>
        </w:rPr>
      </w:pPr>
      <w:r>
        <w:rPr>
          <w:rFonts w:ascii="Times New Roman" w:hAnsi="Times New Roman" w:cs="Times New Roman"/>
          <w:b/>
          <w:bCs/>
          <w:i/>
          <w:iCs/>
          <w:sz w:val="28"/>
          <w:szCs w:val="28"/>
        </w:rPr>
        <w:t>6.1. Trái phiếu nhà ở:</w:t>
      </w:r>
    </w:p>
    <w:p w14:paraId="5E04D3BC"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 Tại Hàn Quốc: </w:t>
      </w:r>
      <w:r>
        <w:rPr>
          <w:rFonts w:ascii="Times New Roman" w:hAnsi="Times New Roman" w:cs="Times New Roman"/>
          <w:sz w:val="28"/>
          <w:szCs w:val="28"/>
        </w:rPr>
        <w:t>Chính phủ thu hồi lại một phần lợi nhuận phát triển bằng cách bắt buộc những người đăng ký bất động sản, xin giấy phép xây dựng phải mua trái phiếu nhà ở quốc gia. Khoản thu này được nộp vào Quỹ nhà ở quốc gia và được quản lý bởi cơ quan quản lý chuyên nghiệp; cụ thể:</w:t>
      </w:r>
    </w:p>
    <w:p w14:paraId="7A3BAB42"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i/>
          <w:iCs/>
          <w:sz w:val="28"/>
          <w:szCs w:val="28"/>
        </w:rPr>
        <w:t>Các đối tượng thuộc diện phải mua trái phiếu nhà ở quốc gia:</w:t>
      </w:r>
      <w:r>
        <w:rPr>
          <w:rFonts w:ascii="Times New Roman" w:hAnsi="Times New Roman" w:cs="Times New Roman"/>
          <w:sz w:val="28"/>
          <w:szCs w:val="28"/>
        </w:rPr>
        <w:t xml:space="preserve"> các đối tượng thuộc diện phải mua trái phiếu được quy định tại khoản 1 Điều 8 Luật Nhà ở và quỹ đô thị của Hàn Quốc, bao gồm: </w:t>
      </w:r>
    </w:p>
    <w:p w14:paraId="5E260C9E"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Những người xin, đăng ký hoặc được cấp phép, có giấy phép từ nhà nước hoặc các tổ chức tự trị địa phương.</w:t>
      </w:r>
    </w:p>
    <w:p w14:paraId="74BEFD29"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Những người ký hợp thầu khoán các công trình xây dựng với nhà nước, tổ chức tự trị địa phương, hoặc cơ quan công quyền được quy định bởi “</w:t>
      </w:r>
      <w:r>
        <w:rPr>
          <w:rFonts w:ascii="Times New Roman" w:hAnsi="Times New Roman" w:cs="Times New Roman"/>
          <w:i/>
          <w:sz w:val="28"/>
          <w:szCs w:val="28"/>
        </w:rPr>
        <w:t>Đạo luật về điều hành cơ quan công quyền</w:t>
      </w:r>
      <w:r>
        <w:rPr>
          <w:rFonts w:ascii="Times New Roman" w:hAnsi="Times New Roman" w:cs="Times New Roman"/>
          <w:sz w:val="28"/>
          <w:szCs w:val="28"/>
        </w:rPr>
        <w:t>” (các cơ quan công quyền góp vốn từ 50% trở lên trong tổng số vốn góp của chính phủ)</w:t>
      </w:r>
    </w:p>
    <w:p w14:paraId="5E030015"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Như vậy, các cá nhân, tổ chức Nhà nước, được Nhà nước, chính quyền địa phương cấp phép, phê duyệt đăng ký bất động sản</w:t>
      </w:r>
      <w:r>
        <w:rPr>
          <w:rStyle w:val="FootnoteReference"/>
          <w:rFonts w:ascii="Times New Roman" w:hAnsi="Times New Roman" w:cs="Times New Roman"/>
          <w:sz w:val="28"/>
          <w:szCs w:val="28"/>
        </w:rPr>
        <w:footnoteReference w:id="1"/>
      </w:r>
      <w:r>
        <w:rPr>
          <w:rFonts w:ascii="Times New Roman" w:hAnsi="Times New Roman" w:cs="Times New Roman"/>
          <w:sz w:val="28"/>
          <w:szCs w:val="28"/>
        </w:rPr>
        <w:t>, xin giấy phép xây dựng, người ký hợp đồng thầu với đơn vị xây dựng thì có nghĩa vụ mua trái phiếu nhà ở quốc gia.</w:t>
      </w:r>
    </w:p>
    <w:p w14:paraId="34271EF0"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i/>
          <w:iCs/>
          <w:sz w:val="28"/>
          <w:szCs w:val="28"/>
        </w:rPr>
        <w:t>- Phương thức, khối lượng và lãi suất phát hành trái phiếu:</w:t>
      </w:r>
      <w:r>
        <w:rPr>
          <w:rFonts w:ascii="Times New Roman" w:hAnsi="Times New Roman" w:cs="Times New Roman"/>
          <w:b/>
          <w:sz w:val="28"/>
          <w:szCs w:val="28"/>
        </w:rPr>
        <w:t xml:space="preserve"> </w:t>
      </w:r>
      <w:r>
        <w:rPr>
          <w:rFonts w:ascii="Times New Roman" w:hAnsi="Times New Roman" w:cs="Times New Roman"/>
          <w:bCs/>
          <w:sz w:val="28"/>
          <w:szCs w:val="28"/>
        </w:rPr>
        <w:t>vi</w:t>
      </w:r>
      <w:r>
        <w:rPr>
          <w:rFonts w:ascii="Times New Roman" w:hAnsi="Times New Roman" w:cs="Times New Roman"/>
          <w:sz w:val="28"/>
          <w:szCs w:val="28"/>
        </w:rPr>
        <w:t>ệc phát hành trái phiếu được thực hiện theo quy định tại Điều 7, Điều 8 Luật Quỹ nhà ở và đô thị Hàn Quốc.</w:t>
      </w:r>
    </w:p>
    <w:p w14:paraId="5BDAB9F3"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Trái phiếu được Bộ trưởng Bộ Kế hoạch tài chính phát hành trong từng giai đoạn theo đề nghị của Bộ trưởng Bộ MOLIT. Lãi suất trái phiếu được xác định thấp hơn lãi suất thị trường và thời gian đáo hạn của trái phiếu trong vòng 5 năm để ổn định biến động lãi suất (lãi suất năm 2019 là 1,75%). </w:t>
      </w:r>
    </w:p>
    <w:p w14:paraId="711C742B"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Trái phiếu nhà ở được đăng ký phát hành theo phương thức chứng khoán vô danh (bearer security</w:t>
      </w:r>
      <w:r>
        <w:rPr>
          <w:rStyle w:val="FootnoteReference"/>
          <w:rFonts w:ascii="Times New Roman" w:hAnsi="Times New Roman" w:cs="Times New Roman"/>
          <w:sz w:val="28"/>
          <w:szCs w:val="28"/>
        </w:rPr>
        <w:footnoteReference w:id="2"/>
      </w:r>
      <w:r>
        <w:rPr>
          <w:rFonts w:ascii="Times New Roman" w:hAnsi="Times New Roman" w:cs="Times New Roman"/>
          <w:sz w:val="28"/>
          <w:szCs w:val="28"/>
        </w:rPr>
        <w:t>) và phát hành có ghi giá.</w:t>
      </w:r>
    </w:p>
    <w:p w14:paraId="6BA18E1A"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Trường hợp nhà đầu tư không muốn giữ trái phiếu đến ngày đáo hạn thì cần áp dụng phương án chuyển thành tiền mặt thông qua quy trình chiết khấu tại ngân hàng. </w:t>
      </w:r>
    </w:p>
    <w:p w14:paraId="2FD57EA5"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sz w:val="28"/>
          <w:szCs w:val="28"/>
        </w:rPr>
        <w:t>Lượng trái phiếu phát hành hàng năm giai đoạn 2014-2018 tại Hàn Quốc như sau:</w:t>
      </w:r>
    </w:p>
    <w:p w14:paraId="2C685BE1" w14:textId="77777777" w:rsidR="00692C69" w:rsidRDefault="0013194A">
      <w:pPr>
        <w:pStyle w:val="Default"/>
        <w:spacing w:line="360" w:lineRule="exact"/>
        <w:ind w:firstLine="360"/>
        <w:jc w:val="both"/>
        <w:rPr>
          <w:color w:val="auto"/>
          <w:sz w:val="28"/>
          <w:szCs w:val="28"/>
        </w:rPr>
      </w:pPr>
      <w:r>
        <w:rPr>
          <w:noProof/>
          <w:color w:val="auto"/>
          <w:sz w:val="28"/>
          <w:szCs w:val="28"/>
        </w:rPr>
        <w:drawing>
          <wp:anchor distT="0" distB="0" distL="114300" distR="114300" simplePos="0" relativeHeight="251669504" behindDoc="1" locked="0" layoutInCell="1" allowOverlap="1" wp14:anchorId="09207B42" wp14:editId="3E2557C3">
            <wp:simplePos x="0" y="0"/>
            <wp:positionH relativeFrom="column">
              <wp:posOffset>-9525</wp:posOffset>
            </wp:positionH>
            <wp:positionV relativeFrom="paragraph">
              <wp:posOffset>28575</wp:posOffset>
            </wp:positionV>
            <wp:extent cx="5934075" cy="990600"/>
            <wp:effectExtent l="0" t="0" r="9525" b="0"/>
            <wp:wrapNone/>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a:extLst>
                        <a:ext uri="{28A0092B-C50C-407E-A947-70E740481C1C}">
                          <a14:useLocalDpi xmlns:a14="http://schemas.microsoft.com/office/drawing/2010/main" val="0"/>
                        </a:ext>
                      </a:extLst>
                    </a:blip>
                    <a:srcRect b="64261"/>
                    <a:stretch/>
                  </pic:blipFill>
                  <pic:spPr bwMode="auto">
                    <a:xfrm>
                      <a:off x="0" y="0"/>
                      <a:ext cx="5934075" cy="990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3A999BB5" w14:textId="77777777" w:rsidR="00692C69" w:rsidRDefault="00692C69">
      <w:pPr>
        <w:pStyle w:val="Default"/>
        <w:spacing w:line="360" w:lineRule="exact"/>
        <w:ind w:firstLine="360"/>
        <w:jc w:val="both"/>
        <w:rPr>
          <w:color w:val="auto"/>
          <w:sz w:val="28"/>
          <w:szCs w:val="28"/>
        </w:rPr>
      </w:pPr>
    </w:p>
    <w:p w14:paraId="31F747D8" w14:textId="77777777" w:rsidR="00692C69" w:rsidRDefault="00692C69">
      <w:pPr>
        <w:pStyle w:val="Default"/>
        <w:spacing w:line="360" w:lineRule="exact"/>
        <w:ind w:firstLine="360"/>
        <w:jc w:val="both"/>
        <w:rPr>
          <w:color w:val="auto"/>
          <w:sz w:val="28"/>
          <w:szCs w:val="28"/>
        </w:rPr>
      </w:pPr>
    </w:p>
    <w:p w14:paraId="768C022E" w14:textId="77777777" w:rsidR="00692C69" w:rsidRDefault="00692C69">
      <w:pPr>
        <w:pStyle w:val="Default"/>
        <w:spacing w:line="360" w:lineRule="exact"/>
        <w:ind w:firstLine="720"/>
        <w:jc w:val="both"/>
        <w:rPr>
          <w:color w:val="auto"/>
          <w:sz w:val="28"/>
          <w:szCs w:val="28"/>
        </w:rPr>
      </w:pPr>
    </w:p>
    <w:p w14:paraId="743CA14F" w14:textId="77777777" w:rsidR="00692C69" w:rsidRDefault="0013194A">
      <w:pPr>
        <w:pStyle w:val="Default"/>
        <w:spacing w:line="360" w:lineRule="exact"/>
        <w:ind w:firstLine="720"/>
        <w:jc w:val="both"/>
        <w:rPr>
          <w:color w:val="auto"/>
          <w:sz w:val="28"/>
          <w:szCs w:val="28"/>
        </w:rPr>
      </w:pPr>
      <w:r>
        <w:rPr>
          <w:color w:val="auto"/>
          <w:sz w:val="28"/>
          <w:szCs w:val="28"/>
        </w:rPr>
        <w:t>Đến cuối năm 2018, tại Hàn Quốc, nguồn vốn huy động từ trái phiếu nhà ở quốc gia chiếm tỷ lệ lớn nhất trong các nguồn vốn huy động vào Quỹ nhà ở quốc gia (khoảng 73.300 tỷ won, tương đương 1,4 triệu tỷ đồng, chiếm 42% tổng huy động).</w:t>
      </w:r>
    </w:p>
    <w:p w14:paraId="5505449D" w14:textId="77777777" w:rsidR="00692C69" w:rsidRDefault="0013194A">
      <w:pPr>
        <w:tabs>
          <w:tab w:val="left" w:pos="1290"/>
        </w:tabs>
        <w:spacing w:after="0" w:line="360" w:lineRule="exact"/>
        <w:jc w:val="both"/>
        <w:rPr>
          <w:rFonts w:ascii="Times New Roman" w:hAnsi="Times New Roman" w:cs="Times New Roman"/>
        </w:rPr>
      </w:pPr>
      <w:r>
        <w:rPr>
          <w:rFonts w:ascii="Times New Roman" w:hAnsi="Times New Roman" w:cs="Times New Roman"/>
          <w:noProof/>
          <w:sz w:val="28"/>
          <w:szCs w:val="28"/>
        </w:rPr>
        <w:drawing>
          <wp:anchor distT="0" distB="0" distL="114300" distR="114300" simplePos="0" relativeHeight="251670528" behindDoc="1" locked="0" layoutInCell="1" allowOverlap="1" wp14:anchorId="39A4A3F0" wp14:editId="7C320EB1">
            <wp:simplePos x="0" y="0"/>
            <wp:positionH relativeFrom="column">
              <wp:posOffset>1285875</wp:posOffset>
            </wp:positionH>
            <wp:positionV relativeFrom="paragraph">
              <wp:posOffset>149225</wp:posOffset>
            </wp:positionV>
            <wp:extent cx="3143250" cy="2714625"/>
            <wp:effectExtent l="38100" t="0" r="19050" b="9525"/>
            <wp:wrapNone/>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14:sizeRelH relativeFrom="page">
              <wp14:pctWidth>0</wp14:pctWidth>
            </wp14:sizeRelH>
            <wp14:sizeRelV relativeFrom="page">
              <wp14:pctHeight>0</wp14:pctHeight>
            </wp14:sizeRelV>
          </wp:anchor>
        </w:drawing>
      </w:r>
    </w:p>
    <w:p w14:paraId="4626310C" w14:textId="77777777" w:rsidR="00692C69" w:rsidRDefault="00692C69">
      <w:pPr>
        <w:pStyle w:val="Default"/>
        <w:spacing w:line="360" w:lineRule="exact"/>
        <w:ind w:left="1080"/>
        <w:jc w:val="both"/>
        <w:rPr>
          <w:b/>
          <w:color w:val="auto"/>
          <w:sz w:val="28"/>
          <w:szCs w:val="28"/>
        </w:rPr>
      </w:pPr>
    </w:p>
    <w:p w14:paraId="4234766C" w14:textId="77777777" w:rsidR="00692C69" w:rsidRDefault="00692C69">
      <w:pPr>
        <w:pStyle w:val="Default"/>
        <w:spacing w:line="360" w:lineRule="exact"/>
        <w:ind w:left="1080"/>
        <w:jc w:val="both"/>
        <w:rPr>
          <w:b/>
          <w:color w:val="auto"/>
          <w:sz w:val="28"/>
          <w:szCs w:val="28"/>
        </w:rPr>
      </w:pPr>
    </w:p>
    <w:p w14:paraId="71AFD7A3" w14:textId="77777777" w:rsidR="00692C69" w:rsidRDefault="00692C69">
      <w:pPr>
        <w:pStyle w:val="Default"/>
        <w:spacing w:line="360" w:lineRule="exact"/>
        <w:ind w:left="1080"/>
        <w:jc w:val="both"/>
        <w:rPr>
          <w:b/>
          <w:color w:val="auto"/>
          <w:sz w:val="28"/>
          <w:szCs w:val="28"/>
        </w:rPr>
      </w:pPr>
    </w:p>
    <w:p w14:paraId="01F07038" w14:textId="77777777" w:rsidR="00692C69" w:rsidRDefault="00692C69">
      <w:pPr>
        <w:pStyle w:val="Default"/>
        <w:spacing w:line="360" w:lineRule="exact"/>
        <w:ind w:left="1080"/>
        <w:jc w:val="both"/>
        <w:rPr>
          <w:b/>
          <w:color w:val="auto"/>
          <w:sz w:val="28"/>
          <w:szCs w:val="28"/>
        </w:rPr>
      </w:pPr>
    </w:p>
    <w:p w14:paraId="000DCC52" w14:textId="77777777" w:rsidR="00692C69" w:rsidRDefault="00692C69">
      <w:pPr>
        <w:pStyle w:val="Default"/>
        <w:spacing w:line="360" w:lineRule="exact"/>
        <w:ind w:left="1080"/>
        <w:jc w:val="both"/>
        <w:rPr>
          <w:b/>
          <w:color w:val="auto"/>
          <w:sz w:val="28"/>
          <w:szCs w:val="28"/>
        </w:rPr>
      </w:pPr>
    </w:p>
    <w:p w14:paraId="2C640D35" w14:textId="77777777" w:rsidR="00692C69" w:rsidRDefault="00692C69">
      <w:pPr>
        <w:pStyle w:val="Default"/>
        <w:spacing w:line="360" w:lineRule="exact"/>
        <w:ind w:left="1080"/>
        <w:jc w:val="both"/>
        <w:rPr>
          <w:b/>
          <w:color w:val="auto"/>
          <w:sz w:val="28"/>
          <w:szCs w:val="28"/>
        </w:rPr>
      </w:pPr>
    </w:p>
    <w:p w14:paraId="155B6332" w14:textId="77777777" w:rsidR="00692C69" w:rsidRDefault="00692C69">
      <w:pPr>
        <w:pStyle w:val="Default"/>
        <w:spacing w:line="360" w:lineRule="exact"/>
        <w:ind w:left="1080"/>
        <w:jc w:val="both"/>
        <w:rPr>
          <w:b/>
          <w:color w:val="auto"/>
          <w:sz w:val="28"/>
          <w:szCs w:val="28"/>
        </w:rPr>
      </w:pPr>
    </w:p>
    <w:p w14:paraId="6DF93FD4" w14:textId="77777777" w:rsidR="00692C69" w:rsidRDefault="00692C69">
      <w:pPr>
        <w:pStyle w:val="Default"/>
        <w:spacing w:line="360" w:lineRule="exact"/>
        <w:ind w:left="1080"/>
        <w:jc w:val="both"/>
        <w:rPr>
          <w:b/>
          <w:color w:val="auto"/>
          <w:sz w:val="28"/>
          <w:szCs w:val="28"/>
        </w:rPr>
      </w:pPr>
    </w:p>
    <w:p w14:paraId="0E12953A" w14:textId="77777777" w:rsidR="00692C69" w:rsidRDefault="00692C69">
      <w:pPr>
        <w:pStyle w:val="Default"/>
        <w:spacing w:line="360" w:lineRule="exact"/>
        <w:ind w:left="1080"/>
        <w:jc w:val="both"/>
        <w:rPr>
          <w:b/>
          <w:color w:val="auto"/>
          <w:sz w:val="28"/>
          <w:szCs w:val="28"/>
        </w:rPr>
      </w:pPr>
    </w:p>
    <w:p w14:paraId="79F38ED5" w14:textId="77777777" w:rsidR="00692C69" w:rsidRDefault="00692C69">
      <w:pPr>
        <w:pStyle w:val="Default"/>
        <w:spacing w:line="360" w:lineRule="exact"/>
        <w:jc w:val="both"/>
        <w:rPr>
          <w:b/>
          <w:color w:val="auto"/>
          <w:sz w:val="28"/>
          <w:szCs w:val="28"/>
        </w:rPr>
      </w:pPr>
    </w:p>
    <w:p w14:paraId="0FBB8D80" w14:textId="77777777" w:rsidR="00692C69" w:rsidRDefault="00692C69">
      <w:pPr>
        <w:pStyle w:val="Default"/>
        <w:spacing w:line="360" w:lineRule="exact"/>
        <w:jc w:val="both"/>
        <w:rPr>
          <w:b/>
          <w:color w:val="auto"/>
          <w:sz w:val="28"/>
          <w:szCs w:val="28"/>
        </w:rPr>
      </w:pPr>
    </w:p>
    <w:p w14:paraId="29300E64" w14:textId="77777777" w:rsidR="00692C69" w:rsidRDefault="00692C69">
      <w:pPr>
        <w:pStyle w:val="Default"/>
        <w:spacing w:line="360" w:lineRule="exact"/>
        <w:jc w:val="both"/>
        <w:rPr>
          <w:b/>
          <w:color w:val="auto"/>
          <w:sz w:val="28"/>
          <w:szCs w:val="28"/>
        </w:rPr>
      </w:pPr>
    </w:p>
    <w:p w14:paraId="33A4D038" w14:textId="77777777" w:rsidR="00692C69" w:rsidRDefault="0013194A">
      <w:pPr>
        <w:pStyle w:val="Default"/>
        <w:spacing w:line="360" w:lineRule="exact"/>
        <w:ind w:firstLine="360"/>
        <w:jc w:val="both"/>
        <w:rPr>
          <w:b/>
          <w:color w:val="auto"/>
          <w:sz w:val="28"/>
          <w:szCs w:val="28"/>
        </w:rPr>
      </w:pPr>
      <w:r>
        <w:rPr>
          <w:bCs/>
          <w:i/>
          <w:iCs/>
          <w:color w:val="auto"/>
          <w:sz w:val="28"/>
          <w:szCs w:val="28"/>
        </w:rPr>
        <w:t>- Phương thức quản lý:</w:t>
      </w:r>
      <w:r>
        <w:rPr>
          <w:bCs/>
          <w:color w:val="auto"/>
          <w:sz w:val="28"/>
          <w:szCs w:val="28"/>
        </w:rPr>
        <w:t xml:space="preserve"> Ở</w:t>
      </w:r>
      <w:r>
        <w:rPr>
          <w:color w:val="auto"/>
          <w:sz w:val="28"/>
          <w:szCs w:val="28"/>
        </w:rPr>
        <w:t xml:space="preserve"> Hàn Quốc, trái phiếu nhà ở quốc gia được nộp vào Quỹ Nhà ở Quốc gia vàđược điều hành bởi 3 cơ quan có liên quan như sau:</w:t>
      </w:r>
    </w:p>
    <w:p w14:paraId="54D4CF88" w14:textId="77777777" w:rsidR="00692C69" w:rsidRDefault="0013194A">
      <w:pPr>
        <w:pStyle w:val="Default"/>
        <w:spacing w:line="360" w:lineRule="exact"/>
        <w:ind w:firstLine="360"/>
        <w:jc w:val="both"/>
        <w:rPr>
          <w:b/>
          <w:color w:val="auto"/>
          <w:sz w:val="28"/>
          <w:szCs w:val="28"/>
        </w:rPr>
      </w:pPr>
      <w:r>
        <w:rPr>
          <w:bCs/>
          <w:i/>
          <w:iCs/>
          <w:color w:val="auto"/>
          <w:sz w:val="28"/>
          <w:szCs w:val="28"/>
        </w:rPr>
        <w:t>+ Cơ quan quản lý:</w:t>
      </w:r>
      <w:r>
        <w:rPr>
          <w:color w:val="auto"/>
          <w:sz w:val="28"/>
          <w:szCs w:val="28"/>
        </w:rPr>
        <w:t xml:space="preserve"> Bộ MOLIT có trách nhiệm: (1) </w:t>
      </w:r>
      <w:r>
        <w:rPr>
          <w:sz w:val="28"/>
          <w:szCs w:val="28"/>
        </w:rPr>
        <w:t xml:space="preserve">Lập kế hoạch tổng thể nhà ở; (2) </w:t>
      </w:r>
      <w:r>
        <w:rPr>
          <w:color w:val="auto"/>
          <w:sz w:val="28"/>
          <w:szCs w:val="28"/>
        </w:rPr>
        <w:t>Lập kế hoạch điều hành quỹ; (3) Huy động vốn từ Chính phủ; (4</w:t>
      </w:r>
      <w:proofErr w:type="gramStart"/>
      <w:r>
        <w:rPr>
          <w:color w:val="auto"/>
          <w:sz w:val="28"/>
          <w:szCs w:val="28"/>
        </w:rPr>
        <w:t>)  Quản</w:t>
      </w:r>
      <w:proofErr w:type="gramEnd"/>
      <w:r>
        <w:rPr>
          <w:color w:val="auto"/>
          <w:sz w:val="28"/>
          <w:szCs w:val="28"/>
        </w:rPr>
        <w:t xml:space="preserve"> lý giám sát tổ chức chuyên trách.</w:t>
      </w:r>
    </w:p>
    <w:p w14:paraId="032A706C" w14:textId="77777777" w:rsidR="00692C69" w:rsidRDefault="0013194A">
      <w:pPr>
        <w:pStyle w:val="Default"/>
        <w:spacing w:line="360" w:lineRule="exact"/>
        <w:ind w:firstLine="360"/>
        <w:jc w:val="both"/>
        <w:rPr>
          <w:b/>
          <w:color w:val="auto"/>
          <w:sz w:val="28"/>
          <w:szCs w:val="28"/>
        </w:rPr>
      </w:pPr>
      <w:r>
        <w:rPr>
          <w:bCs/>
          <w:i/>
          <w:iCs/>
          <w:color w:val="auto"/>
          <w:sz w:val="28"/>
          <w:szCs w:val="28"/>
        </w:rPr>
        <w:t>+ Cơ quan chuyên trách:</w:t>
      </w:r>
      <w:r>
        <w:rPr>
          <w:color w:val="auto"/>
          <w:sz w:val="28"/>
          <w:szCs w:val="28"/>
        </w:rPr>
        <w:t xml:space="preserve"> Tổng công ty bảo lãnh nhà ở và đô thị HUG có trách nhiệm: (1) </w:t>
      </w:r>
      <w:r>
        <w:rPr>
          <w:sz w:val="28"/>
          <w:szCs w:val="28"/>
        </w:rPr>
        <w:t>Quản lý chung, điều hành công việc; (2) Hỗ trợ chính sách quỹ; (3) Đánh giá, quản lý ngân hàng được ủy thác; (4) Nghiên cứu và phát triển quỹ, quản lý rủi ro; (5) Tiến hành xuất vốn quỹ, đầu tư và cho vay</w:t>
      </w:r>
    </w:p>
    <w:p w14:paraId="0E2794D0" w14:textId="77777777" w:rsidR="00692C69" w:rsidRDefault="0013194A">
      <w:pPr>
        <w:pStyle w:val="Default"/>
        <w:spacing w:line="360" w:lineRule="exact"/>
        <w:ind w:firstLine="360"/>
        <w:jc w:val="both"/>
        <w:rPr>
          <w:b/>
          <w:color w:val="auto"/>
          <w:sz w:val="28"/>
          <w:szCs w:val="28"/>
        </w:rPr>
      </w:pPr>
      <w:r>
        <w:rPr>
          <w:bCs/>
          <w:i/>
          <w:iCs/>
          <w:color w:val="auto"/>
          <w:sz w:val="28"/>
          <w:szCs w:val="28"/>
        </w:rPr>
        <w:lastRenderedPageBreak/>
        <w:t>+ Tổ chức tái ủy thác:</w:t>
      </w:r>
      <w:r>
        <w:rPr>
          <w:bCs/>
          <w:color w:val="auto"/>
          <w:sz w:val="28"/>
          <w:szCs w:val="28"/>
        </w:rPr>
        <w:t xml:space="preserve"> Ngân hàng được ủy thác có trách nhiệm: (</w:t>
      </w:r>
      <w:proofErr w:type="gramStart"/>
      <w:r>
        <w:rPr>
          <w:bCs/>
          <w:color w:val="auto"/>
          <w:sz w:val="28"/>
          <w:szCs w:val="28"/>
        </w:rPr>
        <w:t>1)</w:t>
      </w:r>
      <w:r>
        <w:rPr>
          <w:bCs/>
          <w:sz w:val="28"/>
          <w:szCs w:val="28"/>
        </w:rPr>
        <w:t>Vay</w:t>
      </w:r>
      <w:proofErr w:type="gramEnd"/>
      <w:r>
        <w:rPr>
          <w:bCs/>
          <w:sz w:val="28"/>
          <w:szCs w:val="28"/>
        </w:rPr>
        <w:t xml:space="preserve"> quỹ nhà ở và đô thị; (2) Phát hành trái phiếu nhà ở quốc dân; (3</w:t>
      </w:r>
      <w:r>
        <w:rPr>
          <w:sz w:val="28"/>
          <w:szCs w:val="28"/>
        </w:rPr>
        <w:t>) gửi tiết kiệm đăng ký mua nhà trước</w:t>
      </w:r>
    </w:p>
    <w:p w14:paraId="1F849E2C" w14:textId="77777777" w:rsidR="00692C69" w:rsidRDefault="0013194A">
      <w:pPr>
        <w:pStyle w:val="Default"/>
        <w:spacing w:line="360" w:lineRule="exact"/>
        <w:ind w:firstLine="360"/>
        <w:jc w:val="both"/>
        <w:rPr>
          <w:sz w:val="28"/>
          <w:szCs w:val="28"/>
        </w:rPr>
      </w:pPr>
      <w:r>
        <w:rPr>
          <w:sz w:val="28"/>
          <w:szCs w:val="28"/>
        </w:rPr>
        <w:t>Các cơ quan quản lý quỹ tương tác theo mô hình sau:</w:t>
      </w:r>
    </w:p>
    <w:p w14:paraId="3DB4C7B7" w14:textId="77777777" w:rsidR="00692C69" w:rsidRDefault="00692C69">
      <w:pPr>
        <w:pStyle w:val="Default"/>
        <w:spacing w:line="360" w:lineRule="exact"/>
        <w:jc w:val="both"/>
        <w:rPr>
          <w:sz w:val="28"/>
          <w:szCs w:val="28"/>
        </w:rPr>
      </w:pPr>
    </w:p>
    <w:p w14:paraId="5B5E8721" w14:textId="77777777" w:rsidR="00692C69" w:rsidRDefault="00692C69">
      <w:pPr>
        <w:pStyle w:val="Default"/>
        <w:spacing w:line="360" w:lineRule="exact"/>
        <w:jc w:val="both"/>
        <w:rPr>
          <w:sz w:val="28"/>
          <w:szCs w:val="28"/>
        </w:rPr>
      </w:pPr>
    </w:p>
    <w:p w14:paraId="5472DA0C" w14:textId="77777777" w:rsidR="00692C69" w:rsidRDefault="0013194A">
      <w:pPr>
        <w:pStyle w:val="Default"/>
        <w:spacing w:line="360" w:lineRule="exact"/>
        <w:ind w:left="720"/>
        <w:jc w:val="both"/>
        <w:rPr>
          <w:color w:val="auto"/>
          <w:sz w:val="28"/>
          <w:szCs w:val="28"/>
        </w:rPr>
      </w:pPr>
      <w:r>
        <w:rPr>
          <w:noProof/>
          <w:color w:val="auto"/>
          <w:sz w:val="28"/>
          <w:szCs w:val="28"/>
        </w:rPr>
        <mc:AlternateContent>
          <mc:Choice Requires="wps">
            <w:drawing>
              <wp:anchor distT="0" distB="0" distL="114300" distR="114300" simplePos="0" relativeHeight="251660288" behindDoc="0" locked="0" layoutInCell="1" allowOverlap="1" wp14:anchorId="276A9AB5" wp14:editId="3FBDD5B7">
                <wp:simplePos x="0" y="0"/>
                <wp:positionH relativeFrom="column">
                  <wp:posOffset>1709632</wp:posOffset>
                </wp:positionH>
                <wp:positionV relativeFrom="paragraph">
                  <wp:posOffset>12277</wp:posOffset>
                </wp:positionV>
                <wp:extent cx="1121833" cy="2180166"/>
                <wp:effectExtent l="38100" t="38100" r="40640" b="29845"/>
                <wp:wrapNone/>
                <wp:docPr id="11" name="모서리가 둥근 직사각형 10"/>
                <wp:cNvGraphicFramePr/>
                <a:graphic xmlns:a="http://schemas.openxmlformats.org/drawingml/2006/main">
                  <a:graphicData uri="http://schemas.microsoft.com/office/word/2010/wordprocessingShape">
                    <wps:wsp>
                      <wps:cNvSpPr/>
                      <wps:spPr>
                        <a:xfrm>
                          <a:off x="0" y="0"/>
                          <a:ext cx="1121833" cy="2180166"/>
                        </a:xfrm>
                        <a:prstGeom prst="roundRect">
                          <a:avLst/>
                        </a:prstGeom>
                        <a:noFill/>
                        <a:ln w="79375">
                          <a:solidFill>
                            <a:schemeClr val="bg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AD2C80" w14:textId="77777777" w:rsidR="00692C69" w:rsidRDefault="0013194A">
                            <w:pPr>
                              <w:pStyle w:val="NormalWeb"/>
                              <w:spacing w:before="0" w:beforeAutospacing="0" w:after="0" w:afterAutospacing="0"/>
                              <w:jc w:val="center"/>
                              <w:rPr>
                                <w:sz w:val="28"/>
                                <w:szCs w:val="28"/>
                              </w:rPr>
                            </w:pPr>
                            <w:r>
                              <w:rPr>
                                <w:b/>
                                <w:bCs/>
                                <w:color w:val="000000" w:themeColor="text1"/>
                                <w:kern w:val="24"/>
                                <w:sz w:val="28"/>
                                <w:szCs w:val="28"/>
                              </w:rPr>
                              <w:t xml:space="preserve">HUG </w:t>
                            </w:r>
                          </w:p>
                          <w:p w14:paraId="5F90E4CB" w14:textId="77777777" w:rsidR="00692C69" w:rsidRDefault="0013194A">
                            <w:pPr>
                              <w:pStyle w:val="NormalWeb"/>
                              <w:spacing w:before="0" w:beforeAutospacing="0" w:after="0" w:afterAutospacing="0"/>
                              <w:jc w:val="center"/>
                              <w:rPr>
                                <w:sz w:val="28"/>
                                <w:szCs w:val="28"/>
                              </w:rPr>
                            </w:pPr>
                            <w:r>
                              <w:rPr>
                                <w:b/>
                                <w:bCs/>
                                <w:color w:val="000000" w:themeColor="text1"/>
                                <w:kern w:val="24"/>
                                <w:sz w:val="28"/>
                                <w:szCs w:val="28"/>
                              </w:rPr>
                              <w:t>Tổng công ty bảo lãnh nhà ở và đô thị</w:t>
                            </w:r>
                            <w:r>
                              <w:rPr>
                                <w:b/>
                                <w:bCs/>
                                <w:color w:val="000000" w:themeColor="text1"/>
                                <w:kern w:val="24"/>
                                <w:sz w:val="28"/>
                                <w:szCs w:val="28"/>
                                <w:lang w:eastAsia="ko-KR"/>
                              </w:rPr>
                              <w:t xml:space="preserve"> </w:t>
                            </w:r>
                          </w:p>
                          <w:p w14:paraId="54A625B9" w14:textId="77777777" w:rsidR="00692C69" w:rsidRDefault="0013194A">
                            <w:pPr>
                              <w:pStyle w:val="NormalWeb"/>
                              <w:spacing w:before="0" w:beforeAutospacing="0" w:after="0" w:afterAutospacing="0"/>
                              <w:jc w:val="center"/>
                              <w:rPr>
                                <w:sz w:val="28"/>
                                <w:szCs w:val="28"/>
                              </w:rPr>
                            </w:pPr>
                            <w:r>
                              <w:rPr>
                                <w:color w:val="000000" w:themeColor="text1"/>
                                <w:kern w:val="24"/>
                                <w:sz w:val="28"/>
                                <w:szCs w:val="28"/>
                              </w:rPr>
                              <w:t>Tổng quát về quản lý điều hành</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모서리가 둥근 직사각형 10" o:spid="_x0000_s1026" style="position:absolute;left:0;text-align:left;margin-left:134.6pt;margin-top:.95pt;width:88.35pt;height:171.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" filled="f" strokecolor="#bfbfbf [2412]" strokeweight="6.25pt">
                <v:stroke joinstyle="miter"/>
                <v:textbox>
                  <w:txbxContent>
                    <w:p w:rsidR="00692C69" w:rsidRDefault="0013194A">
                      <w:pPr>
                        <w:pStyle w:val="NormalWeb"/>
                        <w:spacing w:before="0" w:beforeAutospacing="0" w:after="0" w:afterAutospacing="0"/>
                        <w:jc w:val="center"/>
                        <w:rPr>
                          <w:sz w:val="28"/>
                          <w:szCs w:val="28"/>
                        </w:rPr>
                      </w:pPr>
                      <w:r>
                        <w:rPr>
                          <w:b/>
                          <w:bCs/>
                          <w:color w:val="000000" w:themeColor="text1"/>
                          <w:kern w:val="24"/>
                          <w:sz w:val="28"/>
                          <w:szCs w:val="28"/>
                        </w:rPr>
                        <w:t xml:space="preserve">HUG </w:t>
                      </w:r>
                    </w:p>
                    <w:p w:rsidR="00692C69" w:rsidRDefault="0013194A">
                      <w:pPr>
                        <w:pStyle w:val="NormalWeb"/>
                        <w:spacing w:before="0" w:beforeAutospacing="0" w:after="0" w:afterAutospacing="0"/>
                        <w:jc w:val="center"/>
                        <w:rPr>
                          <w:sz w:val="28"/>
                          <w:szCs w:val="28"/>
                        </w:rPr>
                      </w:pPr>
                      <w:r>
                        <w:rPr>
                          <w:b/>
                          <w:bCs/>
                          <w:color w:val="000000" w:themeColor="text1"/>
                          <w:kern w:val="24"/>
                          <w:sz w:val="28"/>
                          <w:szCs w:val="28"/>
                        </w:rPr>
                        <w:t>Tổng công ty bảo lãnh nhà ở và đô thị</w:t>
                      </w:r>
                      <w:r>
                        <w:rPr>
                          <w:b/>
                          <w:bCs/>
                          <w:color w:val="000000" w:themeColor="text1"/>
                          <w:kern w:val="24"/>
                          <w:sz w:val="28"/>
                          <w:szCs w:val="28"/>
                          <w:lang w:eastAsia="ko-KR"/>
                        </w:rPr>
                        <w:t xml:space="preserve"> </w:t>
                      </w:r>
                    </w:p>
                    <w:p w:rsidR="00692C69" w:rsidRDefault="0013194A">
                      <w:pPr>
                        <w:pStyle w:val="NormalWeb"/>
                        <w:spacing w:before="0" w:beforeAutospacing="0" w:after="0" w:afterAutospacing="0"/>
                        <w:jc w:val="center"/>
                        <w:rPr>
                          <w:sz w:val="28"/>
                          <w:szCs w:val="28"/>
                        </w:rPr>
                      </w:pPr>
                      <w:r>
                        <w:rPr>
                          <w:color w:val="000000" w:themeColor="text1"/>
                          <w:kern w:val="24"/>
                          <w:sz w:val="28"/>
                          <w:szCs w:val="28"/>
                        </w:rPr>
                        <w:t>Tổng quát về quản lý điều hành</w:t>
                      </w:r>
                    </w:p>
                  </w:txbxContent>
                </v:textbox>
              </v:roundrect>
            </w:pict>
          </mc:Fallback>
        </mc:AlternateContent>
      </w:r>
      <w:r>
        <w:rPr>
          <w:noProof/>
          <w:color w:val="auto"/>
          <w:sz w:val="28"/>
          <w:szCs w:val="28"/>
        </w:rPr>
        <mc:AlternateContent>
          <mc:Choice Requires="wps">
            <w:drawing>
              <wp:anchor distT="0" distB="0" distL="114300" distR="114300" simplePos="0" relativeHeight="251659264" behindDoc="0" locked="0" layoutInCell="1" allowOverlap="1" wp14:anchorId="70BC9DA7" wp14:editId="0EF8F726">
                <wp:simplePos x="0" y="0"/>
                <wp:positionH relativeFrom="column">
                  <wp:posOffset>-229235</wp:posOffset>
                </wp:positionH>
                <wp:positionV relativeFrom="paragraph">
                  <wp:posOffset>308609</wp:posOffset>
                </wp:positionV>
                <wp:extent cx="1198033" cy="1468967"/>
                <wp:effectExtent l="38100" t="38100" r="40640" b="36195"/>
                <wp:wrapNone/>
                <wp:docPr id="8" name="모서리가 둥근 직사각형 7"/>
                <wp:cNvGraphicFramePr/>
                <a:graphic xmlns:a="http://schemas.openxmlformats.org/drawingml/2006/main">
                  <a:graphicData uri="http://schemas.microsoft.com/office/word/2010/wordprocessingShape">
                    <wps:wsp>
                      <wps:cNvSpPr/>
                      <wps:spPr>
                        <a:xfrm>
                          <a:off x="0" y="0"/>
                          <a:ext cx="1198033" cy="1468967"/>
                        </a:xfrm>
                        <a:prstGeom prst="roundRect">
                          <a:avLst/>
                        </a:prstGeom>
                        <a:noFill/>
                        <a:ln w="79375">
                          <a:solidFill>
                            <a:schemeClr val="bg1">
                              <a:lumMod val="8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A9B63EF" w14:textId="77777777" w:rsidR="00692C69" w:rsidRDefault="0013194A">
                            <w:pPr>
                              <w:pStyle w:val="NormalWeb"/>
                              <w:spacing w:before="0" w:beforeAutospacing="0" w:after="0" w:afterAutospacing="0"/>
                              <w:jc w:val="center"/>
                              <w:rPr>
                                <w:sz w:val="28"/>
                                <w:szCs w:val="28"/>
                              </w:rPr>
                            </w:pPr>
                            <w:r>
                              <w:rPr>
                                <w:b/>
                                <w:bCs/>
                                <w:color w:val="000000" w:themeColor="text1"/>
                                <w:kern w:val="24"/>
                                <w:sz w:val="28"/>
                                <w:szCs w:val="28"/>
                              </w:rPr>
                              <w:t>Bộ MOLIT</w:t>
                            </w:r>
                          </w:p>
                          <w:p w14:paraId="7655AC60" w14:textId="77777777" w:rsidR="00692C69" w:rsidRDefault="0013194A">
                            <w:pPr>
                              <w:pStyle w:val="NormalWeb"/>
                              <w:spacing w:before="0" w:beforeAutospacing="0" w:after="0" w:afterAutospacing="0"/>
                              <w:jc w:val="center"/>
                              <w:rPr>
                                <w:sz w:val="28"/>
                                <w:szCs w:val="28"/>
                              </w:rPr>
                            </w:pPr>
                            <w:r>
                              <w:rPr>
                                <w:color w:val="000000" w:themeColor="text1"/>
                                <w:kern w:val="24"/>
                                <w:sz w:val="28"/>
                                <w:szCs w:val="28"/>
                              </w:rPr>
                              <w:t>Tổng quát về chính sách</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모서리가 둥근 직사각형 7" o:spid="_x0000_s1027" style="position:absolute;left:0;text-align:left;margin-left:-18.05pt;margin-top:24.3pt;width:94.35pt;height:11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" filled="f" strokecolor="#d8d8d8 [2732]" strokeweight="6.25pt">
                <v:stroke joinstyle="miter"/>
                <v:textbox>
                  <w:txbxContent>
                    <w:p w:rsidR="00692C69" w:rsidRDefault="0013194A">
                      <w:pPr>
                        <w:pStyle w:val="NormalWeb"/>
                        <w:spacing w:before="0" w:beforeAutospacing="0" w:after="0" w:afterAutospacing="0"/>
                        <w:jc w:val="center"/>
                        <w:rPr>
                          <w:sz w:val="28"/>
                          <w:szCs w:val="28"/>
                        </w:rPr>
                      </w:pPr>
                      <w:r>
                        <w:rPr>
                          <w:b/>
                          <w:bCs/>
                          <w:color w:val="000000" w:themeColor="text1"/>
                          <w:kern w:val="24"/>
                          <w:sz w:val="28"/>
                          <w:szCs w:val="28"/>
                        </w:rPr>
                        <w:t>Bộ MOLIT</w:t>
                      </w:r>
                    </w:p>
                    <w:p w:rsidR="00692C69" w:rsidRDefault="0013194A">
                      <w:pPr>
                        <w:pStyle w:val="NormalWeb"/>
                        <w:spacing w:before="0" w:beforeAutospacing="0" w:after="0" w:afterAutospacing="0"/>
                        <w:jc w:val="center"/>
                        <w:rPr>
                          <w:sz w:val="28"/>
                          <w:szCs w:val="28"/>
                        </w:rPr>
                      </w:pPr>
                      <w:r>
                        <w:rPr>
                          <w:color w:val="000000" w:themeColor="text1"/>
                          <w:kern w:val="24"/>
                          <w:sz w:val="28"/>
                          <w:szCs w:val="28"/>
                        </w:rPr>
                        <w:t>Tổng quát về chính sách</w:t>
                      </w:r>
                    </w:p>
                  </w:txbxContent>
                </v:textbox>
              </v:roundrect>
            </w:pict>
          </mc:Fallback>
        </mc:AlternateContent>
      </w:r>
      <w:r>
        <w:rPr>
          <w:noProof/>
          <w:color w:val="auto"/>
          <w:sz w:val="28"/>
          <w:szCs w:val="28"/>
        </w:rPr>
        <mc:AlternateContent>
          <mc:Choice Requires="wps">
            <w:drawing>
              <wp:anchor distT="0" distB="0" distL="114300" distR="114300" simplePos="0" relativeHeight="251661312" behindDoc="0" locked="0" layoutInCell="1" allowOverlap="1" wp14:anchorId="002E1A71" wp14:editId="03B905EB">
                <wp:simplePos x="0" y="0"/>
                <wp:positionH relativeFrom="column">
                  <wp:posOffset>3953298</wp:posOffset>
                </wp:positionH>
                <wp:positionV relativeFrom="paragraph">
                  <wp:posOffset>12277</wp:posOffset>
                </wp:positionV>
                <wp:extent cx="1934634" cy="1130300"/>
                <wp:effectExtent l="38100" t="38100" r="46990" b="31750"/>
                <wp:wrapNone/>
                <wp:docPr id="15" name="모서리가 둥근 직사각형 14"/>
                <wp:cNvGraphicFramePr/>
                <a:graphic xmlns:a="http://schemas.openxmlformats.org/drawingml/2006/main">
                  <a:graphicData uri="http://schemas.microsoft.com/office/word/2010/wordprocessingShape">
                    <wps:wsp>
                      <wps:cNvSpPr/>
                      <wps:spPr>
                        <a:xfrm>
                          <a:off x="0" y="0"/>
                          <a:ext cx="1934634" cy="1130300"/>
                        </a:xfrm>
                        <a:prstGeom prst="roundRect">
                          <a:avLst/>
                        </a:prstGeom>
                        <a:noFill/>
                        <a:ln w="7937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09623CB" w14:textId="77777777" w:rsidR="00692C69" w:rsidRDefault="0013194A">
                            <w:pPr>
                              <w:pStyle w:val="NormalWeb"/>
                              <w:spacing w:before="0" w:beforeAutospacing="0" w:after="0" w:afterAutospacing="0"/>
                              <w:jc w:val="center"/>
                              <w:rPr>
                                <w:sz w:val="28"/>
                                <w:szCs w:val="28"/>
                              </w:rPr>
                            </w:pPr>
                            <w:r>
                              <w:rPr>
                                <w:b/>
                                <w:bCs/>
                                <w:color w:val="000000" w:themeColor="text1"/>
                                <w:kern w:val="24"/>
                                <w:sz w:val="28"/>
                                <w:szCs w:val="28"/>
                              </w:rPr>
                              <w:t>Ngân hàng ủy thác giám sát</w:t>
                            </w:r>
                          </w:p>
                          <w:p w14:paraId="1AE7E0CA" w14:textId="77777777" w:rsidR="00692C69" w:rsidRDefault="0013194A">
                            <w:pPr>
                              <w:pStyle w:val="NormalWeb"/>
                              <w:spacing w:before="0" w:beforeAutospacing="0" w:after="0" w:afterAutospacing="0"/>
                              <w:jc w:val="center"/>
                              <w:rPr>
                                <w:sz w:val="28"/>
                                <w:szCs w:val="28"/>
                              </w:rPr>
                            </w:pPr>
                            <w:r>
                              <w:rPr>
                                <w:color w:val="000000" w:themeColor="text1"/>
                                <w:kern w:val="24"/>
                                <w:sz w:val="28"/>
                                <w:szCs w:val="28"/>
                              </w:rPr>
                              <w:t>Cho vay doanh nghiệp</w:t>
                            </w:r>
                          </w:p>
                          <w:p w14:paraId="4CA76825" w14:textId="77777777" w:rsidR="00692C69" w:rsidRDefault="0013194A">
                            <w:pPr>
                              <w:pStyle w:val="NormalWeb"/>
                              <w:spacing w:before="0" w:beforeAutospacing="0" w:after="0" w:afterAutospacing="0"/>
                              <w:jc w:val="center"/>
                              <w:rPr>
                                <w:sz w:val="28"/>
                                <w:szCs w:val="28"/>
                              </w:rPr>
                            </w:pPr>
                            <w:r>
                              <w:rPr>
                                <w:color w:val="000000" w:themeColor="text1"/>
                                <w:kern w:val="24"/>
                                <w:sz w:val="28"/>
                                <w:szCs w:val="28"/>
                              </w:rPr>
                              <w:t>Cho vay và huy động</w:t>
                            </w:r>
                          </w:p>
                          <w:p w14:paraId="4D5332B6" w14:textId="77777777" w:rsidR="00692C69" w:rsidRDefault="0013194A">
                            <w:pPr>
                              <w:pStyle w:val="NormalWeb"/>
                              <w:spacing w:before="0" w:beforeAutospacing="0" w:after="0" w:afterAutospacing="0"/>
                              <w:jc w:val="center"/>
                            </w:pPr>
                            <w:r>
                              <w:rPr>
                                <w:color w:val="000000" w:themeColor="text1"/>
                                <w:kern w:val="24"/>
                                <w:sz w:val="28"/>
                                <w:szCs w:val="28"/>
                              </w:rPr>
                              <w:t>(tư vấn/quầy giao dịch)</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모서리가 둥근 직사각형 14" o:spid="_x0000_s1028" style="position:absolute;left:0;text-align:left;margin-left:311.3pt;margin-top:.95pt;width:152.35pt;height:8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" filled="f" strokecolor="#7f7f7f [1612]" strokeweight="6.25pt">
                <v:stroke joinstyle="miter"/>
                <v:textbox>
                  <w:txbxContent>
                    <w:p w:rsidR="00692C69" w:rsidRDefault="0013194A">
                      <w:pPr>
                        <w:pStyle w:val="NormalWeb"/>
                        <w:spacing w:before="0" w:beforeAutospacing="0" w:after="0" w:afterAutospacing="0"/>
                        <w:jc w:val="center"/>
                        <w:rPr>
                          <w:sz w:val="28"/>
                          <w:szCs w:val="28"/>
                        </w:rPr>
                      </w:pPr>
                      <w:r>
                        <w:rPr>
                          <w:b/>
                          <w:bCs/>
                          <w:color w:val="000000" w:themeColor="text1"/>
                          <w:kern w:val="24"/>
                          <w:sz w:val="28"/>
                          <w:szCs w:val="28"/>
                        </w:rPr>
                        <w:t>Ngân hàng ủy thác giám sát</w:t>
                      </w:r>
                    </w:p>
                    <w:p w:rsidR="00692C69" w:rsidRDefault="0013194A">
                      <w:pPr>
                        <w:pStyle w:val="NormalWeb"/>
                        <w:spacing w:before="0" w:beforeAutospacing="0" w:after="0" w:afterAutospacing="0"/>
                        <w:jc w:val="center"/>
                        <w:rPr>
                          <w:sz w:val="28"/>
                          <w:szCs w:val="28"/>
                        </w:rPr>
                      </w:pPr>
                      <w:r>
                        <w:rPr>
                          <w:color w:val="000000" w:themeColor="text1"/>
                          <w:kern w:val="24"/>
                          <w:sz w:val="28"/>
                          <w:szCs w:val="28"/>
                        </w:rPr>
                        <w:t>Cho vay doanh nghiệp</w:t>
                      </w:r>
                    </w:p>
                    <w:p w:rsidR="00692C69" w:rsidRDefault="0013194A">
                      <w:pPr>
                        <w:pStyle w:val="NormalWeb"/>
                        <w:spacing w:before="0" w:beforeAutospacing="0" w:after="0" w:afterAutospacing="0"/>
                        <w:jc w:val="center"/>
                        <w:rPr>
                          <w:sz w:val="28"/>
                          <w:szCs w:val="28"/>
                        </w:rPr>
                      </w:pPr>
                      <w:r>
                        <w:rPr>
                          <w:color w:val="000000" w:themeColor="text1"/>
                          <w:kern w:val="24"/>
                          <w:sz w:val="28"/>
                          <w:szCs w:val="28"/>
                        </w:rPr>
                        <w:t>Cho vay và huy động</w:t>
                      </w:r>
                    </w:p>
                    <w:p w:rsidR="00692C69" w:rsidRDefault="0013194A">
                      <w:pPr>
                        <w:pStyle w:val="NormalWeb"/>
                        <w:spacing w:before="0" w:beforeAutospacing="0" w:after="0" w:afterAutospacing="0"/>
                        <w:jc w:val="center"/>
                      </w:pPr>
                      <w:r>
                        <w:rPr>
                          <w:color w:val="000000" w:themeColor="text1"/>
                          <w:kern w:val="24"/>
                          <w:sz w:val="28"/>
                          <w:szCs w:val="28"/>
                        </w:rPr>
                        <w:t>(tư vấn/quầy giao dịch)</w:t>
                      </w:r>
                    </w:p>
                  </w:txbxContent>
                </v:textbox>
              </v:roundrect>
            </w:pict>
          </mc:Fallback>
        </mc:AlternateContent>
      </w:r>
      <w:r>
        <w:rPr>
          <w:color w:val="auto"/>
          <w:sz w:val="28"/>
          <w:szCs w:val="28"/>
        </w:rPr>
        <w:tab/>
      </w:r>
    </w:p>
    <w:p w14:paraId="5523EF20" w14:textId="77777777" w:rsidR="00692C69" w:rsidRDefault="0013194A">
      <w:pPr>
        <w:pStyle w:val="Default"/>
        <w:tabs>
          <w:tab w:val="left" w:pos="3735"/>
        </w:tabs>
        <w:spacing w:line="360" w:lineRule="exact"/>
        <w:ind w:firstLine="360"/>
        <w:jc w:val="both"/>
        <w:rPr>
          <w:color w:val="auto"/>
          <w:sz w:val="28"/>
          <w:szCs w:val="28"/>
        </w:rPr>
      </w:pPr>
      <w:r>
        <w:rPr>
          <w:noProof/>
        </w:rPr>
        <mc:AlternateContent>
          <mc:Choice Requires="wps">
            <w:drawing>
              <wp:anchor distT="0" distB="0" distL="114300" distR="114300" simplePos="0" relativeHeight="251667456" behindDoc="0" locked="0" layoutInCell="1" allowOverlap="1" wp14:anchorId="6C24C9EF" wp14:editId="5A63BB90">
                <wp:simplePos x="0" y="0"/>
                <wp:positionH relativeFrom="column">
                  <wp:posOffset>962025</wp:posOffset>
                </wp:positionH>
                <wp:positionV relativeFrom="paragraph">
                  <wp:posOffset>212725</wp:posOffset>
                </wp:positionV>
                <wp:extent cx="742950" cy="523220"/>
                <wp:effectExtent l="0" t="0" r="0" b="0"/>
                <wp:wrapNone/>
                <wp:docPr id="6" name="TextBox 12"/>
                <wp:cNvGraphicFramePr/>
                <a:graphic xmlns:a="http://schemas.openxmlformats.org/drawingml/2006/main">
                  <a:graphicData uri="http://schemas.microsoft.com/office/word/2010/wordprocessingShape">
                    <wps:wsp>
                      <wps:cNvSpPr txBox="1"/>
                      <wps:spPr>
                        <a:xfrm>
                          <a:off x="0" y="0"/>
                          <a:ext cx="742950" cy="523220"/>
                        </a:xfrm>
                        <a:prstGeom prst="rect">
                          <a:avLst/>
                        </a:prstGeom>
                        <a:noFill/>
                      </wps:spPr>
                      <wps:txbx>
                        <w:txbxContent>
                          <w:p w14:paraId="6038CF8B" w14:textId="77777777" w:rsidR="00692C69" w:rsidRDefault="0013194A">
                            <w:pPr>
                              <w:pStyle w:val="NormalWeb"/>
                              <w:spacing w:before="0" w:beforeAutospacing="0" w:after="0" w:afterAutospacing="0"/>
                            </w:pPr>
                            <w:r>
                              <w:rPr>
                                <w:b/>
                                <w:bCs/>
                                <w:color w:val="000000" w:themeColor="text1"/>
                                <w:kern w:val="24"/>
                                <w:sz w:val="28"/>
                                <w:szCs w:val="28"/>
                              </w:rPr>
                              <w:t>ủy thác</w:t>
                            </w:r>
                          </w:p>
                        </w:txbxContent>
                      </wps:txbx>
                      <wps:bodyPr wrap="square" rtlCol="0">
                        <a:spAutoFit/>
                      </wps:bodyPr>
                    </wps:wsp>
                  </a:graphicData>
                </a:graphic>
                <wp14:sizeRelH relativeFrom="margin">
                  <wp14:pctWidth>0</wp14:pctWidth>
                </wp14:sizeRelH>
              </wp:anchor>
            </w:drawing>
          </mc:Choice>
          <mc:Fallback>
            <w:pict>
              <v:shapetype id="_x0000_t202" coordsize="21600,21600" o:spt="202" path="m,l,21600r21600,l21600,xe">
                <v:stroke joinstyle="miter"/>
                <v:path gradientshapeok="t" o:connecttype="rect"/>
              </v:shapetype>
              <v:shape id="TextBox 12" o:spid="_x0000_s1029" type="#_x0000_t202" style="position:absolute;left:0;text-align:left;margin-left:75.75pt;margin-top:16.75pt;width:58.5pt;height:41.2pt;z-index:25166745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" filled="f" stroked="f">
                <v:textbox style="mso-fit-shape-to-text:t">
                  <w:txbxContent>
                    <w:p w:rsidR="00692C69" w:rsidRDefault="0013194A">
                      <w:pPr>
                        <w:pStyle w:val="NormalWeb"/>
                        <w:spacing w:before="0" w:beforeAutospacing="0" w:after="0" w:afterAutospacing="0"/>
                      </w:pPr>
                      <w:r>
                        <w:rPr>
                          <w:b/>
                          <w:bCs/>
                          <w:color w:val="000000" w:themeColor="text1"/>
                          <w:kern w:val="24"/>
                          <w:sz w:val="28"/>
                          <w:szCs w:val="28"/>
                        </w:rPr>
                        <w:t>ủy thác</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3F1F6000" wp14:editId="31B2ADED">
                <wp:simplePos x="0" y="0"/>
                <wp:positionH relativeFrom="column">
                  <wp:posOffset>2943225</wp:posOffset>
                </wp:positionH>
                <wp:positionV relativeFrom="paragraph">
                  <wp:posOffset>50800</wp:posOffset>
                </wp:positionV>
                <wp:extent cx="1219200" cy="523220"/>
                <wp:effectExtent l="0" t="0" r="0" b="0"/>
                <wp:wrapNone/>
                <wp:docPr id="13" name="TextBox 12"/>
                <wp:cNvGraphicFramePr/>
                <a:graphic xmlns:a="http://schemas.openxmlformats.org/drawingml/2006/main">
                  <a:graphicData uri="http://schemas.microsoft.com/office/word/2010/wordprocessingShape">
                    <wps:wsp>
                      <wps:cNvSpPr txBox="1"/>
                      <wps:spPr>
                        <a:xfrm>
                          <a:off x="0" y="0"/>
                          <a:ext cx="1219200" cy="523220"/>
                        </a:xfrm>
                        <a:prstGeom prst="rect">
                          <a:avLst/>
                        </a:prstGeom>
                        <a:noFill/>
                      </wps:spPr>
                      <wps:txbx>
                        <w:txbxContent>
                          <w:p w14:paraId="645B14A1" w14:textId="77777777" w:rsidR="00692C69" w:rsidRDefault="0013194A">
                            <w:pPr>
                              <w:pStyle w:val="NormalWeb"/>
                              <w:spacing w:before="0" w:beforeAutospacing="0" w:after="0" w:afterAutospacing="0"/>
                            </w:pPr>
                            <w:r>
                              <w:rPr>
                                <w:b/>
                                <w:bCs/>
                                <w:color w:val="000000" w:themeColor="text1"/>
                                <w:kern w:val="24"/>
                                <w:sz w:val="28"/>
                                <w:szCs w:val="28"/>
                              </w:rPr>
                              <w:t>Tái ủy thác</w:t>
                            </w:r>
                          </w:p>
                        </w:txbxContent>
                      </wps:txbx>
                      <wps:bodyPr wrap="square" rtlCol="0">
                        <a:spAutoFit/>
                      </wps:bodyPr>
                    </wps:wsp>
                  </a:graphicData>
                </a:graphic>
                <wp14:sizeRelH relativeFrom="margin">
                  <wp14:pctWidth>0</wp14:pctWidth>
                </wp14:sizeRelH>
              </wp:anchor>
            </w:drawing>
          </mc:Choice>
          <mc:Fallback>
            <w:pict>
              <v:shape id="_x0000_s1030" type="#_x0000_t202" style="position:absolute;left:0;text-align:left;margin-left:231.75pt;margin-top:4pt;width:96pt;height:41.2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" filled="f" stroked="f">
                <v:textbox style="mso-fit-shape-to-text:t">
                  <w:txbxContent>
                    <w:p w:rsidR="00692C69" w:rsidRDefault="0013194A">
                      <w:pPr>
                        <w:pStyle w:val="NormalWeb"/>
                        <w:spacing w:before="0" w:beforeAutospacing="0" w:after="0" w:afterAutospacing="0"/>
                      </w:pPr>
                      <w:r>
                        <w:rPr>
                          <w:b/>
                          <w:bCs/>
                          <w:color w:val="000000" w:themeColor="text1"/>
                          <w:kern w:val="24"/>
                          <w:sz w:val="28"/>
                          <w:szCs w:val="28"/>
                        </w:rPr>
                        <w:t>Tái ủy thác</w:t>
                      </w:r>
                    </w:p>
                  </w:txbxContent>
                </v:textbox>
              </v:shape>
            </w:pict>
          </mc:Fallback>
        </mc:AlternateContent>
      </w:r>
      <w:r>
        <w:rPr>
          <w:color w:val="auto"/>
          <w:sz w:val="28"/>
          <w:szCs w:val="28"/>
        </w:rPr>
        <w:tab/>
      </w:r>
    </w:p>
    <w:p w14:paraId="5E9986A0" w14:textId="77777777" w:rsidR="00692C69" w:rsidRDefault="0013194A">
      <w:pPr>
        <w:spacing w:after="0" w:line="360" w:lineRule="exact"/>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8480" behindDoc="0" locked="0" layoutInCell="1" allowOverlap="1" wp14:anchorId="2EC73357" wp14:editId="2B096D12">
                <wp:simplePos x="0" y="0"/>
                <wp:positionH relativeFrom="column">
                  <wp:posOffset>962025</wp:posOffset>
                </wp:positionH>
                <wp:positionV relativeFrom="paragraph">
                  <wp:posOffset>286385</wp:posOffset>
                </wp:positionV>
                <wp:extent cx="742950" cy="0"/>
                <wp:effectExtent l="0" t="76200" r="19050" b="95250"/>
                <wp:wrapNone/>
                <wp:docPr id="7" name="Straight Arrow Connector 7"/>
                <wp:cNvGraphicFramePr/>
                <a:graphic xmlns:a="http://schemas.openxmlformats.org/drawingml/2006/main">
                  <a:graphicData uri="http://schemas.microsoft.com/office/word/2010/wordprocessingShape">
                    <wps:wsp>
                      <wps:cNvCnPr/>
                      <wps:spPr>
                        <a:xfrm>
                          <a:off x="0" y="0"/>
                          <a:ext cx="7429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094EF533" id="_x0000_t32" coordsize="21600,21600" o:spt="32" o:oned="t" path="m,l21600,21600e" filled="f">
                <v:path arrowok="t" fillok="f" o:connecttype="none"/>
                <o:lock v:ext="edit" shapetype="t"/>
              </v:shapetype>
              <v:shape id="Straight Arrow Connector 7" o:spid="_x0000_s1026" type="#_x0000_t32" style="position:absolute;margin-left:75.75pt;margin-top:22.55pt;width:58.5pt;height:0;z-index:251668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" strokecolor="black [3200]" strokeweight=".5pt">
                <v:stroke endarrow="block" joinstyle="miter"/>
              </v:shape>
            </w:pict>
          </mc:Fallback>
        </mc:AlternateContent>
      </w:r>
      <w:r>
        <w:rPr>
          <w:rFonts w:ascii="Times New Roman" w:hAnsi="Times New Roman" w:cs="Times New Roman"/>
          <w:noProof/>
        </w:rPr>
        <mc:AlternateContent>
          <mc:Choice Requires="wps">
            <w:drawing>
              <wp:anchor distT="0" distB="0" distL="114300" distR="114300" simplePos="0" relativeHeight="251664384" behindDoc="0" locked="0" layoutInCell="1" allowOverlap="1" wp14:anchorId="23AA0490" wp14:editId="4C7DC48E">
                <wp:simplePos x="0" y="0"/>
                <wp:positionH relativeFrom="column">
                  <wp:posOffset>2943225</wp:posOffset>
                </wp:positionH>
                <wp:positionV relativeFrom="paragraph">
                  <wp:posOffset>142875</wp:posOffset>
                </wp:positionV>
                <wp:extent cx="1009650" cy="0"/>
                <wp:effectExtent l="0" t="76200" r="19050" b="95250"/>
                <wp:wrapNone/>
                <wp:docPr id="4" name="Straight Arrow Connector 4"/>
                <wp:cNvGraphicFramePr/>
                <a:graphic xmlns:a="http://schemas.openxmlformats.org/drawingml/2006/main">
                  <a:graphicData uri="http://schemas.microsoft.com/office/word/2010/wordprocessingShape">
                    <wps:wsp>
                      <wps:cNvCnPr/>
                      <wps:spPr>
                        <a:xfrm>
                          <a:off x="0" y="0"/>
                          <a:ext cx="10096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47270FD" id="Straight Arrow Connector 4" o:spid="_x0000_s1026" type="#_x0000_t32" style="position:absolute;margin-left:231.75pt;margin-top:11.25pt;width:79.5pt;height:0;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" strokecolor="black [3200]" strokeweight=".5pt">
                <v:stroke endarrow="block" joinstyle="miter"/>
              </v:shape>
            </w:pict>
          </mc:Fallback>
        </mc:AlternateContent>
      </w:r>
    </w:p>
    <w:p w14:paraId="42CE8676" w14:textId="77777777" w:rsidR="00692C69" w:rsidRDefault="00692C69">
      <w:pPr>
        <w:spacing w:after="0" w:line="360" w:lineRule="exact"/>
        <w:jc w:val="both"/>
        <w:rPr>
          <w:rFonts w:ascii="Times New Roman" w:hAnsi="Times New Roman" w:cs="Times New Roman"/>
        </w:rPr>
      </w:pPr>
    </w:p>
    <w:p w14:paraId="08092AA6" w14:textId="77777777" w:rsidR="00692C69" w:rsidRDefault="0013194A">
      <w:pPr>
        <w:spacing w:after="0" w:line="360" w:lineRule="exact"/>
        <w:jc w:val="both"/>
        <w:rPr>
          <w:rFonts w:ascii="Times New Roman" w:hAnsi="Times New Roman" w:cs="Times New Roman"/>
        </w:rPr>
      </w:pPr>
      <w:r>
        <w:rPr>
          <w:rFonts w:ascii="Times New Roman" w:hAnsi="Times New Roman" w:cs="Times New Roman"/>
          <w:noProof/>
          <w:sz w:val="28"/>
          <w:szCs w:val="28"/>
        </w:rPr>
        <mc:AlternateContent>
          <mc:Choice Requires="wps">
            <w:drawing>
              <wp:anchor distT="0" distB="0" distL="114300" distR="114300" simplePos="0" relativeHeight="251662336" behindDoc="0" locked="0" layoutInCell="1" allowOverlap="1" wp14:anchorId="0FEA56ED" wp14:editId="2C1585AF">
                <wp:simplePos x="0" y="0"/>
                <wp:positionH relativeFrom="column">
                  <wp:posOffset>3970233</wp:posOffset>
                </wp:positionH>
                <wp:positionV relativeFrom="paragraph">
                  <wp:posOffset>245110</wp:posOffset>
                </wp:positionV>
                <wp:extent cx="1968500" cy="1138767"/>
                <wp:effectExtent l="38100" t="38100" r="31750" b="42545"/>
                <wp:wrapNone/>
                <wp:docPr id="16" name="모서리가 둥근 직사각형 15"/>
                <wp:cNvGraphicFramePr/>
                <a:graphic xmlns:a="http://schemas.openxmlformats.org/drawingml/2006/main">
                  <a:graphicData uri="http://schemas.microsoft.com/office/word/2010/wordprocessingShape">
                    <wps:wsp>
                      <wps:cNvSpPr/>
                      <wps:spPr>
                        <a:xfrm>
                          <a:off x="0" y="0"/>
                          <a:ext cx="1968500" cy="1138767"/>
                        </a:xfrm>
                        <a:prstGeom prst="roundRect">
                          <a:avLst/>
                        </a:prstGeom>
                        <a:noFill/>
                        <a:ln w="79375">
                          <a:solidFill>
                            <a:schemeClr val="bg1">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551DE4" w14:textId="77777777" w:rsidR="00692C69" w:rsidRDefault="0013194A">
                            <w:pPr>
                              <w:pStyle w:val="NormalWeb"/>
                              <w:spacing w:before="0" w:beforeAutospacing="0" w:after="0" w:afterAutospacing="0"/>
                              <w:jc w:val="center"/>
                            </w:pPr>
                            <w:r>
                              <w:rPr>
                                <w:b/>
                                <w:bCs/>
                                <w:color w:val="000000" w:themeColor="text1"/>
                                <w:kern w:val="24"/>
                                <w:sz w:val="28"/>
                                <w:szCs w:val="28"/>
                              </w:rPr>
                              <w:t>Ngân hàng ủy thác thường</w:t>
                            </w:r>
                            <w:r>
                              <w:rPr>
                                <w:b/>
                                <w:bCs/>
                                <w:color w:val="000000" w:themeColor="text1"/>
                                <w:kern w:val="24"/>
                                <w:sz w:val="28"/>
                                <w:szCs w:val="28"/>
                                <w:lang w:eastAsia="ko-KR"/>
                              </w:rPr>
                              <w:t xml:space="preserve"> </w:t>
                            </w:r>
                          </w:p>
                          <w:p w14:paraId="3B689F0D" w14:textId="77777777" w:rsidR="00692C69" w:rsidRDefault="0013194A">
                            <w:pPr>
                              <w:pStyle w:val="NormalWeb"/>
                              <w:spacing w:before="0" w:beforeAutospacing="0" w:after="0" w:afterAutospacing="0"/>
                              <w:jc w:val="center"/>
                            </w:pPr>
                            <w:r>
                              <w:rPr>
                                <w:color w:val="000000" w:themeColor="text1"/>
                                <w:kern w:val="24"/>
                                <w:sz w:val="28"/>
                                <w:szCs w:val="28"/>
                              </w:rPr>
                              <w:t>Cho vay và huy động</w:t>
                            </w:r>
                          </w:p>
                          <w:p w14:paraId="37AA8CDD" w14:textId="77777777" w:rsidR="00692C69" w:rsidRDefault="0013194A">
                            <w:pPr>
                              <w:pStyle w:val="NormalWeb"/>
                              <w:spacing w:before="0" w:beforeAutospacing="0" w:after="0" w:afterAutospacing="0"/>
                              <w:jc w:val="center"/>
                            </w:pPr>
                            <w:r>
                              <w:rPr>
                                <w:color w:val="000000" w:themeColor="text1"/>
                                <w:kern w:val="24"/>
                                <w:sz w:val="28"/>
                                <w:szCs w:val="28"/>
                              </w:rPr>
                              <w:t>(tư vấn/</w:t>
                            </w:r>
                            <w:r>
                              <w:rPr>
                                <w:color w:val="000000" w:themeColor="text1"/>
                                <w:kern w:val="24"/>
                                <w:sz w:val="28"/>
                                <w:szCs w:val="28"/>
                                <w:lang w:eastAsia="ko-KR"/>
                              </w:rPr>
                              <w:t xml:space="preserve"> </w:t>
                            </w:r>
                            <w:r>
                              <w:rPr>
                                <w:color w:val="000000" w:themeColor="text1"/>
                                <w:kern w:val="24"/>
                                <w:sz w:val="28"/>
                                <w:szCs w:val="28"/>
                              </w:rPr>
                              <w:t>quầy giao dịch)</w:t>
                            </w:r>
                          </w:p>
                        </w:txbxContent>
                      </wps:txbx>
                      <wps:bodyPr wrap="square" rtlCol="0" anchor="ctr">
                        <a:noAutofit/>
                      </wps:bodyPr>
                    </wps:wsp>
                  </a:graphicData>
                </a:graphic>
                <wp14:sizeRelH relativeFrom="margin">
                  <wp14:pctWidth>0</wp14:pctWidth>
                </wp14:sizeRelH>
                <wp14:sizeRelV relativeFrom="margin">
                  <wp14:pctHeight>0</wp14:pctHeight>
                </wp14:sizeRelV>
              </wp:anchor>
            </w:drawing>
          </mc:Choice>
          <mc:Fallback>
            <w:pict>
              <v:roundrect id="모서리가 둥근 직사각형 15" o:spid="_x0000_s1031" style="position:absolute;left:0;text-align:left;margin-left:312.6pt;margin-top:19.3pt;width:155pt;height:89.6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" filled="f" strokecolor="#7f7f7f [1612]" strokeweight="6.25pt">
                <v:stroke joinstyle="miter"/>
                <v:textbox>
                  <w:txbxContent>
                    <w:p w:rsidR="00692C69" w:rsidRDefault="0013194A">
                      <w:pPr>
                        <w:pStyle w:val="NormalWeb"/>
                        <w:spacing w:before="0" w:beforeAutospacing="0" w:after="0" w:afterAutospacing="0"/>
                        <w:jc w:val="center"/>
                      </w:pPr>
                      <w:r>
                        <w:rPr>
                          <w:b/>
                          <w:bCs/>
                          <w:color w:val="000000" w:themeColor="text1"/>
                          <w:kern w:val="24"/>
                          <w:sz w:val="28"/>
                          <w:szCs w:val="28"/>
                        </w:rPr>
                        <w:t>Ngân hàng ủy thác thường</w:t>
                      </w:r>
                      <w:r>
                        <w:rPr>
                          <w:b/>
                          <w:bCs/>
                          <w:color w:val="000000" w:themeColor="text1"/>
                          <w:kern w:val="24"/>
                          <w:sz w:val="28"/>
                          <w:szCs w:val="28"/>
                          <w:lang w:eastAsia="ko-KR"/>
                        </w:rPr>
                        <w:t xml:space="preserve"> </w:t>
                      </w:r>
                    </w:p>
                    <w:p w:rsidR="00692C69" w:rsidRDefault="0013194A">
                      <w:pPr>
                        <w:pStyle w:val="NormalWeb"/>
                        <w:spacing w:before="0" w:beforeAutospacing="0" w:after="0" w:afterAutospacing="0"/>
                        <w:jc w:val="center"/>
                      </w:pPr>
                      <w:r>
                        <w:rPr>
                          <w:color w:val="000000" w:themeColor="text1"/>
                          <w:kern w:val="24"/>
                          <w:sz w:val="28"/>
                          <w:szCs w:val="28"/>
                        </w:rPr>
                        <w:t>Cho vay và huy động</w:t>
                      </w:r>
                    </w:p>
                    <w:p w:rsidR="00692C69" w:rsidRDefault="0013194A">
                      <w:pPr>
                        <w:pStyle w:val="NormalWeb"/>
                        <w:spacing w:before="0" w:beforeAutospacing="0" w:after="0" w:afterAutospacing="0"/>
                        <w:jc w:val="center"/>
                      </w:pPr>
                      <w:r>
                        <w:rPr>
                          <w:color w:val="000000" w:themeColor="text1"/>
                          <w:kern w:val="24"/>
                          <w:sz w:val="28"/>
                          <w:szCs w:val="28"/>
                        </w:rPr>
                        <w:t>(tư vấn/</w:t>
                      </w:r>
                      <w:r>
                        <w:rPr>
                          <w:color w:val="000000" w:themeColor="text1"/>
                          <w:kern w:val="24"/>
                          <w:sz w:val="28"/>
                          <w:szCs w:val="28"/>
                          <w:lang w:eastAsia="ko-KR"/>
                        </w:rPr>
                        <w:t xml:space="preserve"> </w:t>
                      </w:r>
                      <w:r>
                        <w:rPr>
                          <w:color w:val="000000" w:themeColor="text1"/>
                          <w:kern w:val="24"/>
                          <w:sz w:val="28"/>
                          <w:szCs w:val="28"/>
                        </w:rPr>
                        <w:t>quầy giao dịch)</w:t>
                      </w:r>
                    </w:p>
                  </w:txbxContent>
                </v:textbox>
              </v:roundrect>
            </w:pict>
          </mc:Fallback>
        </mc:AlternateContent>
      </w:r>
      <w:r>
        <w:rPr>
          <w:rFonts w:ascii="Times New Roman" w:hAnsi="Times New Roman" w:cs="Times New Roman"/>
          <w:noProof/>
        </w:rPr>
        <mc:AlternateContent>
          <mc:Choice Requires="wps">
            <w:drawing>
              <wp:anchor distT="0" distB="0" distL="114300" distR="114300" simplePos="0" relativeHeight="251666432" behindDoc="0" locked="0" layoutInCell="1" allowOverlap="1" wp14:anchorId="50B65E45" wp14:editId="7F4B52C8">
                <wp:simplePos x="0" y="0"/>
                <wp:positionH relativeFrom="column">
                  <wp:posOffset>2943225</wp:posOffset>
                </wp:positionH>
                <wp:positionV relativeFrom="paragraph">
                  <wp:posOffset>170815</wp:posOffset>
                </wp:positionV>
                <wp:extent cx="1219200" cy="523220"/>
                <wp:effectExtent l="0" t="0" r="0" b="0"/>
                <wp:wrapNone/>
                <wp:docPr id="5" name="TextBox 12"/>
                <wp:cNvGraphicFramePr/>
                <a:graphic xmlns:a="http://schemas.openxmlformats.org/drawingml/2006/main">
                  <a:graphicData uri="http://schemas.microsoft.com/office/word/2010/wordprocessingShape">
                    <wps:wsp>
                      <wps:cNvSpPr txBox="1"/>
                      <wps:spPr>
                        <a:xfrm>
                          <a:off x="0" y="0"/>
                          <a:ext cx="1219200" cy="523220"/>
                        </a:xfrm>
                        <a:prstGeom prst="rect">
                          <a:avLst/>
                        </a:prstGeom>
                        <a:noFill/>
                      </wps:spPr>
                      <wps:txbx>
                        <w:txbxContent>
                          <w:p w14:paraId="6145B0DF" w14:textId="77777777" w:rsidR="00692C69" w:rsidRDefault="0013194A">
                            <w:pPr>
                              <w:pStyle w:val="NormalWeb"/>
                              <w:spacing w:before="0" w:beforeAutospacing="0" w:after="0" w:afterAutospacing="0"/>
                            </w:pPr>
                            <w:r>
                              <w:rPr>
                                <w:b/>
                                <w:bCs/>
                                <w:color w:val="000000" w:themeColor="text1"/>
                                <w:kern w:val="24"/>
                                <w:sz w:val="28"/>
                                <w:szCs w:val="28"/>
                              </w:rPr>
                              <w:t>Tái ủy thác</w:t>
                            </w:r>
                          </w:p>
                        </w:txbxContent>
                      </wps:txbx>
                      <wps:bodyPr wrap="square" rtlCol="0">
                        <a:spAutoFit/>
                      </wps:bodyPr>
                    </wps:wsp>
                  </a:graphicData>
                </a:graphic>
                <wp14:sizeRelH relativeFrom="margin">
                  <wp14:pctWidth>0</wp14:pctWidth>
                </wp14:sizeRelH>
              </wp:anchor>
            </w:drawing>
          </mc:Choice>
          <mc:Fallback>
            <w:pict>
              <v:shape id="_x0000_s1032" type="#_x0000_t202" style="position:absolute;left:0;text-align:left;margin-left:231.75pt;margin-top:13.45pt;width:96pt;height:41.2pt;z-index:25166643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" filled="f" stroked="f">
                <v:textbox style="mso-fit-shape-to-text:t">
                  <w:txbxContent>
                    <w:p w:rsidR="00692C69" w:rsidRDefault="0013194A">
                      <w:pPr>
                        <w:pStyle w:val="NormalWeb"/>
                        <w:spacing w:before="0" w:beforeAutospacing="0" w:after="0" w:afterAutospacing="0"/>
                      </w:pPr>
                      <w:r>
                        <w:rPr>
                          <w:b/>
                          <w:bCs/>
                          <w:color w:val="000000" w:themeColor="text1"/>
                          <w:kern w:val="24"/>
                          <w:sz w:val="28"/>
                          <w:szCs w:val="28"/>
                        </w:rPr>
                        <w:t>Tái ủy thác</w:t>
                      </w:r>
                    </w:p>
                  </w:txbxContent>
                </v:textbox>
              </v:shape>
            </w:pict>
          </mc:Fallback>
        </mc:AlternateContent>
      </w:r>
    </w:p>
    <w:p w14:paraId="62B5C43F" w14:textId="77777777" w:rsidR="00692C69" w:rsidRDefault="0013194A">
      <w:pPr>
        <w:spacing w:after="0" w:line="360" w:lineRule="exact"/>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5408" behindDoc="0" locked="0" layoutInCell="1" allowOverlap="1" wp14:anchorId="07B3BB12" wp14:editId="151C511F">
                <wp:simplePos x="0" y="0"/>
                <wp:positionH relativeFrom="column">
                  <wp:posOffset>2943225</wp:posOffset>
                </wp:positionH>
                <wp:positionV relativeFrom="paragraph">
                  <wp:posOffset>181610</wp:posOffset>
                </wp:positionV>
                <wp:extent cx="1009650" cy="0"/>
                <wp:effectExtent l="0" t="76200" r="19050" b="95250"/>
                <wp:wrapNone/>
                <wp:docPr id="9" name="Straight Arrow Connector 9"/>
                <wp:cNvGraphicFramePr/>
                <a:graphic xmlns:a="http://schemas.openxmlformats.org/drawingml/2006/main">
                  <a:graphicData uri="http://schemas.microsoft.com/office/word/2010/wordprocessingShape">
                    <wps:wsp>
                      <wps:cNvCnPr/>
                      <wps:spPr>
                        <a:xfrm>
                          <a:off x="0" y="0"/>
                          <a:ext cx="1009650" cy="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3D440A4" id="Straight Arrow Connector 9" o:spid="_x0000_s1026" type="#_x0000_t32" style="position:absolute;margin-left:231.75pt;margin-top:14.3pt;width:79.5pt;height:0;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" strokecolor="black [3200]" strokeweight=".5pt">
                <v:stroke endarrow="block" joinstyle="miter"/>
              </v:shape>
            </w:pict>
          </mc:Fallback>
        </mc:AlternateContent>
      </w:r>
    </w:p>
    <w:p w14:paraId="72368996" w14:textId="77777777" w:rsidR="00692C69" w:rsidRDefault="00692C69">
      <w:pPr>
        <w:pStyle w:val="Default"/>
        <w:spacing w:line="360" w:lineRule="exact"/>
        <w:jc w:val="both"/>
        <w:rPr>
          <w:color w:val="auto"/>
          <w:sz w:val="28"/>
          <w:szCs w:val="28"/>
        </w:rPr>
      </w:pPr>
    </w:p>
    <w:p w14:paraId="3149447E" w14:textId="77777777" w:rsidR="00692C69" w:rsidRDefault="00692C69">
      <w:pPr>
        <w:pStyle w:val="Default"/>
        <w:spacing w:line="360" w:lineRule="exact"/>
        <w:jc w:val="both"/>
        <w:rPr>
          <w:color w:val="auto"/>
          <w:sz w:val="28"/>
          <w:szCs w:val="28"/>
        </w:rPr>
      </w:pPr>
    </w:p>
    <w:p w14:paraId="62D55922" w14:textId="77777777" w:rsidR="00692C69" w:rsidRDefault="00692C69">
      <w:pPr>
        <w:pStyle w:val="Default"/>
        <w:spacing w:line="360" w:lineRule="exact"/>
        <w:jc w:val="both"/>
        <w:rPr>
          <w:color w:val="auto"/>
          <w:sz w:val="28"/>
          <w:szCs w:val="28"/>
        </w:rPr>
      </w:pPr>
    </w:p>
    <w:p w14:paraId="2DC95282" w14:textId="77777777" w:rsidR="00692C69" w:rsidRDefault="00692C69">
      <w:pPr>
        <w:spacing w:after="0" w:line="360" w:lineRule="exact"/>
        <w:ind w:firstLine="720"/>
        <w:jc w:val="both"/>
        <w:rPr>
          <w:rFonts w:ascii="Times New Roman" w:hAnsi="Times New Roman" w:cs="Times New Roman"/>
          <w:sz w:val="28"/>
          <w:szCs w:val="28"/>
        </w:rPr>
      </w:pPr>
    </w:p>
    <w:p w14:paraId="1F6F00F2" w14:textId="77777777" w:rsidR="00692C69" w:rsidRDefault="0013194A">
      <w:pPr>
        <w:spacing w:after="0" w:line="360" w:lineRule="exact"/>
        <w:ind w:firstLine="720"/>
        <w:jc w:val="both"/>
        <w:rPr>
          <w:rFonts w:ascii="Times New Roman" w:hAnsi="Times New Roman" w:cs="Times New Roman"/>
          <w:i/>
          <w:iCs/>
          <w:sz w:val="28"/>
          <w:szCs w:val="28"/>
        </w:rPr>
      </w:pPr>
      <w:r>
        <w:rPr>
          <w:rFonts w:ascii="Times New Roman" w:hAnsi="Times New Roman" w:cs="Times New Roman"/>
          <w:i/>
          <w:iCs/>
          <w:sz w:val="28"/>
          <w:szCs w:val="28"/>
        </w:rPr>
        <w:t xml:space="preserve">- Tại Trung Quốc </w:t>
      </w:r>
    </w:p>
    <w:p w14:paraId="008414D7" w14:textId="77777777" w:rsidR="00692C69" w:rsidRDefault="0013194A">
      <w:pPr>
        <w:pStyle w:val="Default"/>
        <w:spacing w:line="360" w:lineRule="exact"/>
        <w:ind w:firstLine="720"/>
        <w:jc w:val="both"/>
        <w:rPr>
          <w:color w:val="212100"/>
          <w:sz w:val="28"/>
          <w:szCs w:val="28"/>
        </w:rPr>
      </w:pPr>
      <w:r>
        <w:rPr>
          <w:color w:val="212100"/>
          <w:sz w:val="28"/>
          <w:szCs w:val="28"/>
        </w:rPr>
        <w:t xml:space="preserve">Quỹ tiết kiệm nhà ở Trung Quốc được thí điểm xây dựng ở Thượng Hải vào năm 1991 và chính thức trở thành một chương trình quốc gia năm 1994 (Chương trình tiết kiệm nhà ở bắt buộc HPF). </w:t>
      </w:r>
    </w:p>
    <w:p w14:paraId="6620362C" w14:textId="77777777" w:rsidR="00692C69" w:rsidRDefault="0013194A">
      <w:pPr>
        <w:pStyle w:val="Default"/>
        <w:spacing w:line="360" w:lineRule="exact"/>
        <w:ind w:firstLine="720"/>
        <w:jc w:val="both"/>
        <w:rPr>
          <w:color w:val="1A1F00"/>
          <w:sz w:val="28"/>
          <w:szCs w:val="28"/>
        </w:rPr>
      </w:pPr>
      <w:r>
        <w:rPr>
          <w:color w:val="212100"/>
          <w:sz w:val="28"/>
          <w:szCs w:val="28"/>
        </w:rPr>
        <w:t xml:space="preserve">HPF là chương trình tiết kiệm nhà ở bắt buộc mà cả người lao động và người sử dụng lao động đều phải đóng góp một khoản phần trăm lượng nhất định của người lao động, ban đầu là 5% vào tài khoản HPF do Ngân hàng Xây dựng Trung Quốc quản lý. Người lao động được vay thế chấp với lãi suất thấp từ Quỹ HPF để mua nhà. Quỹ HPF giúp các cơ quan, đơn vị tham gia hỗ trợ tiền thay vì trực tiếp xây dựng nhà ở cho cán bộ, công nhân viên. Cán bộ, công nhân viên các cơ quan, đơn vị có thể mua nhà ở thị trường với khoản vay từ Quỹ HPF, cùng với nguồn tài chính cá nhân và các khoản vay thế chấp thương mại. Ngoài hoạt động mua nhà ở, Quỹ HPF còn được sử dụng cho các hoạt động liên quan đến nhà đất như sửa chữa, cải tạo nhà ở và tự xây dựng nhà. </w:t>
      </w:r>
      <w:r>
        <w:rPr>
          <w:color w:val="1A1F00"/>
          <w:sz w:val="28"/>
          <w:szCs w:val="28"/>
        </w:rPr>
        <w:t xml:space="preserve">Tính đến năm 2008, chương trình HPF đã tích lũy được hơn 2 nghìn tỷ NDT, với sự tham gia của hơn 73 triệu người lao động ở khu vực đô thị. </w:t>
      </w:r>
    </w:p>
    <w:p w14:paraId="7CCB2D6B" w14:textId="77777777" w:rsidR="00692C69" w:rsidRDefault="0013194A">
      <w:pPr>
        <w:pStyle w:val="NormalWeb"/>
        <w:spacing w:before="0" w:beforeAutospacing="0" w:after="0" w:afterAutospacing="0" w:line="360" w:lineRule="exact"/>
        <w:ind w:firstLine="720"/>
        <w:jc w:val="both"/>
        <w:rPr>
          <w:sz w:val="28"/>
          <w:szCs w:val="28"/>
        </w:rPr>
      </w:pPr>
      <w:r>
        <w:rPr>
          <w:color w:val="1A1F00"/>
          <w:sz w:val="28"/>
          <w:szCs w:val="28"/>
        </w:rPr>
        <w:t xml:space="preserve">Quỹ HPF được quản lý mang tính địa phương theo các nguyên tắc, quy định của Chính phủ. Ví dụ, khi quỹ được ký thác ở Ngân hàng Xây dựng Trung Quốc, hoạt động thường ngày của Quỹ (rút tiền hoặc vay tiền) do Trung tâm quản lý Quỹ (Chính quyền địa phương thành lập, thực hiện. Trung tâm quản lý này phải tuân thủ các quyết định do Hội đồng quản lý Quỹ HPF và quản lý chi tiết tình hình sử dụng Quỹ (lãi suất hay mức cho vay tối đa). </w:t>
      </w:r>
      <w:r>
        <w:rPr>
          <w:color w:val="0D1200"/>
          <w:sz w:val="28"/>
          <w:szCs w:val="28"/>
        </w:rPr>
        <w:t>Thành viên của Hội đồng quản lý Quỹ HPF được phân bổ đồng đều giữa các đại diện các cơ quan, tổ chức hữu quan của địa phương, các đoàn thể của địa phương.</w:t>
      </w:r>
    </w:p>
    <w:p w14:paraId="199A5BB5" w14:textId="77777777" w:rsidR="00692C69" w:rsidRDefault="0013194A">
      <w:pPr>
        <w:pStyle w:val="Default"/>
        <w:spacing w:line="360" w:lineRule="exact"/>
        <w:ind w:firstLine="720"/>
        <w:jc w:val="both"/>
        <w:rPr>
          <w:b/>
          <w:color w:val="auto"/>
          <w:sz w:val="28"/>
          <w:szCs w:val="28"/>
        </w:rPr>
      </w:pPr>
      <w:r>
        <w:rPr>
          <w:color w:val="161B00"/>
          <w:sz w:val="28"/>
          <w:szCs w:val="28"/>
        </w:rPr>
        <w:lastRenderedPageBreak/>
        <w:t xml:space="preserve">Bắt đầu từ năm 2009, Chính phủ Trung Quốc đã kiểm nghiệm tính khả thi của việc đầu tư tiền từ Quỹ HPF cho Chương trình ECH và phát triển nhà cho thuê giá rẻ CRH bằng việc triển khai thí điểm ở một số thành phố được lựa chọn. Các khoản vay từ HPF có thể có lãi suất thấp hơn với các khoản vay thương mại. </w:t>
      </w:r>
      <w:r>
        <w:rPr>
          <w:color w:val="131800"/>
          <w:sz w:val="28"/>
          <w:szCs w:val="28"/>
        </w:rPr>
        <w:t xml:space="preserve">Việc triển khai thí điểm về đầu tư tiền Quỹ HPF cho các dự án </w:t>
      </w:r>
      <w:r>
        <w:rPr>
          <w:color w:val="1C2300"/>
          <w:sz w:val="28"/>
          <w:szCs w:val="28"/>
        </w:rPr>
        <w:t>phát triển nhà ở ECII và CRH có thể giúp giải quyết vấn đề bất bình đẳng nhờ tăng cường nguồn cung nhà ở có giá phù hợp cho các hộ có thu nhập thấp hơn</w:t>
      </w:r>
    </w:p>
    <w:p w14:paraId="51BCEFB7" w14:textId="77777777" w:rsidR="00692C69" w:rsidRDefault="0013194A">
      <w:pPr>
        <w:spacing w:after="0" w:line="360" w:lineRule="exact"/>
        <w:ind w:firstLine="720"/>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6.2. Quỹ tín dụng bất động sản </w:t>
      </w:r>
    </w:p>
    <w:p w14:paraId="58452BD3" w14:textId="77777777" w:rsidR="00692C69" w:rsidRDefault="0013194A">
      <w:pPr>
        <w:spacing w:after="0" w:line="360" w:lineRule="exact"/>
        <w:ind w:firstLine="720"/>
        <w:jc w:val="both"/>
        <w:rPr>
          <w:rFonts w:ascii="Times New Roman" w:hAnsi="Times New Roman" w:cs="Times New Roman"/>
          <w:i/>
          <w:sz w:val="28"/>
          <w:szCs w:val="28"/>
        </w:rPr>
      </w:pPr>
      <w:r>
        <w:rPr>
          <w:rFonts w:ascii="Times New Roman" w:hAnsi="Times New Roman" w:cs="Times New Roman"/>
          <w:i/>
          <w:sz w:val="28"/>
          <w:szCs w:val="28"/>
        </w:rPr>
        <w:t>- Tại</w:t>
      </w:r>
      <w:r>
        <w:rPr>
          <w:rFonts w:ascii="Times New Roman" w:hAnsi="Times New Roman" w:cs="Times New Roman"/>
          <w:i/>
          <w:sz w:val="28"/>
          <w:szCs w:val="28"/>
          <w:lang w:val="vi-VN"/>
        </w:rPr>
        <w:t xml:space="preserve"> USA</w:t>
      </w:r>
      <w:r>
        <w:rPr>
          <w:rFonts w:ascii="Times New Roman" w:hAnsi="Times New Roman" w:cs="Times New Roman"/>
          <w:i/>
          <w:sz w:val="28"/>
          <w:szCs w:val="28"/>
        </w:rPr>
        <w:t xml:space="preserve">: </w:t>
      </w:r>
      <w:r>
        <w:rPr>
          <w:rFonts w:ascii="Times New Roman" w:hAnsi="Times New Roman" w:cs="Times New Roman"/>
          <w:sz w:val="28"/>
          <w:szCs w:val="28"/>
        </w:rPr>
        <w:t>REIT là một công cụ thị trường vốn tự có mới được giới thiệu lần đầu tiên do Quốc hội Hoa kỳ thông qua luật vào năm 1960. REIT mở ra một kênh đầu tư gián tiếp cho các nhà đầu tư cá nhân đầu tư vào BĐS tạo ra thu nhập mà không bị hạn chế về nguồn cung cấp. REIT có điều kiện là phải phân phối hơn 90% thu nhập cho nhà đầu tư cá nhân đầu tư vào REIT dưới hình thức cổ tức. Các REIT phải đầu tư ít nhất 75% tổng tài sản vào BĐS. Về cơ cấu quyền sở hữu, các cổ phiếu REIT Hoa Kỳ phải được phân phối rộng rãi không quá 50% tổng cổ phần do từ nhiều nhất là 5 nhà đầu tư nắm giữ. REIT phát triển mạnh mẽ trong những năm cuối thập niên 1970 và những năm đầu thập niên 80 thu hút sự quan tâm của các nhà đầu tư vào REIT, tuy nhiên xét về tổng giá trị, thị trường REIT vẫn còn tương đối nhỏ với tổng giá trị vốn hóa của thị trường là 4,25 tỷ đô la Mỹ vào năm 1983. Nguyên nhân cho sự phát triển chậm này là do sự xuất hiện của những công ty chắn thuế</w:t>
      </w:r>
      <w:r>
        <w:rPr>
          <w:rStyle w:val="FootnoteReference"/>
          <w:rFonts w:ascii="Times New Roman" w:hAnsi="Times New Roman" w:cs="Times New Roman"/>
          <w:sz w:val="28"/>
          <w:szCs w:val="28"/>
        </w:rPr>
        <w:footnoteReference w:id="3"/>
      </w:r>
      <w:r>
        <w:rPr>
          <w:rFonts w:ascii="Times New Roman" w:hAnsi="Times New Roman" w:cs="Times New Roman"/>
          <w:sz w:val="28"/>
          <w:szCs w:val="28"/>
        </w:rPr>
        <w:t xml:space="preserve"> trong những năm đầu thập niên 80. Các công ty này được hưởng các khoản giảm thuế theo hình thức chuyển các khoản thua lỗ trong hoạt động kinh doanh cho khách hàng và thời gian khấu hao được rút ngắn. Những công ty chắn thuế rút khỏi thị trường REIT, và số lượng REIT giảm từ 76 xuống còn 59 từ năm 1981 đến 1984. </w:t>
      </w:r>
    </w:p>
    <w:p w14:paraId="70AF3084"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Bước ngoặt quan trọng đối với thị trường REIT Hoa Kỳ diễn ra vào năm 1986 sau khi luật cải cách thuế được điều chỉnh toàn diện. Luật này bỏ đi những ưu đãi giảm thuế và hạn chế số lượng đầu tư của các công ty chắn thuế vào BĐS. Một thay đổi quan trọng khác nữa trong Luật cải cách thuế năm 1986 là sự nâng cao yêu cầu các “nhà thầu độc lập” áp dụng đối với REIT. Sự thay đổi này giúp cho các REIT ở Hoa Kỳ có thể chủ động quản lý hoặc điều hành BĐS trực tiếp và cũng đưa ra các dịch vụ thông thường đối với người thuê mà không cần đến các nhà thầu bên ngoài/độc lập.</w:t>
      </w:r>
    </w:p>
    <w:p w14:paraId="0BE52341"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Kimco REIT – mô hình tự tư vấn đầu tiên phát hành cổ phiếu ra đời năm 1991. Những năm 1990 chứng kiến sự bùng nổ quy mô thị trường REIT. 100 REIT mới tham gia thị trường từ năm 1990 đến năm 1995 và vốn hóa thị trường của REIT tăng gấp 3,4 lần trong giai đoạn này. Sự phát triển theo cấp lũy thừa của </w:t>
      </w:r>
      <w:r>
        <w:rPr>
          <w:rFonts w:ascii="Times New Roman" w:hAnsi="Times New Roman" w:cs="Times New Roman"/>
          <w:sz w:val="28"/>
          <w:szCs w:val="28"/>
        </w:rPr>
        <w:lastRenderedPageBreak/>
        <w:t>thị trường REIT vẫn tiếp tục từ giữa thập niên 90 đến những năm 2000 và giá trị vốn hóa thị trường đạt được 307,9 tỷ đô la Mỹ năm 2004. Tuy nhiên, số lượng REIT giảm từ con số cao là 226 REIT năm 1994 còn 193 năm 2004 do các REIT vốn tự có gia tăng sát nhập và hợp nhất. Có ba nhân tố tạo cơ sở cho sự mở rộng nhanh chóng của thị trường REIT vào những năm 1990 và năm 2000. Một là, sự thay đổi trong Luật điều phối Ngân sách năm 1993 “thông qua</w:t>
      </w:r>
      <w:r>
        <w:rPr>
          <w:rStyle w:val="FootnoteReference"/>
          <w:rFonts w:ascii="Times New Roman" w:hAnsi="Times New Roman" w:cs="Times New Roman"/>
          <w:sz w:val="28"/>
          <w:szCs w:val="28"/>
        </w:rPr>
        <w:footnoteReference w:id="4"/>
      </w:r>
      <w:r>
        <w:rPr>
          <w:rFonts w:ascii="Times New Roman" w:hAnsi="Times New Roman" w:cs="Times New Roman"/>
          <w:sz w:val="28"/>
          <w:szCs w:val="28"/>
        </w:rPr>
        <w:t xml:space="preserve">” kết cấu quỹ hưu trí đã làm các khoản đầu tư bằng quỹ hưu trí vào thị trường REIT dễ dàng hơn. Hai là, việc sử dụng cơ cấu Umbrella REIT (UPREIT) để hoãn thuế đánh trên lợi nhuận thu được do bán bất động sản đã thu hút những chủ sở hữu BĐS thương mại tư nhân đầu tư thu lại lợi nhuận từ BĐS của họ thông qua cơ cấu UPREIT. Ba là, việc sắp xếp tự quản lý đối với REIT đã chứng tỏ đây là một điểm tích cực trong việc nâng cao tính hiệu quả và khả năng sinh lợi của REIT. Tính linh hoạt theo Luật đơn giản hóa REIT năm 1997 và Luật Hiện đại hóa REIT năm 1999 cho phép mô hình tự quản lý để sở hữu những công ty con bị đánh thuế và cung cấp những dịch vụ thông thường cho người thuê. </w:t>
      </w:r>
    </w:p>
    <w:p w14:paraId="70862C48"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i/>
          <w:sz w:val="28"/>
          <w:szCs w:val="28"/>
        </w:rPr>
        <w:t xml:space="preserve">Tại Úc: </w:t>
      </w:r>
      <w:r>
        <w:rPr>
          <w:rFonts w:ascii="Times New Roman" w:hAnsi="Times New Roman" w:cs="Times New Roman"/>
          <w:sz w:val="28"/>
          <w:szCs w:val="28"/>
        </w:rPr>
        <w:t xml:space="preserve">Thị trường Quỹ Tín thác bất động sản được niêm yết của Úc là thị trường lớn thứ hai và là một trong những thị trường REIT phát triển nhất bên ngoài USA. Ra đời năm 1971, nhưng cũng giống như các Quỹ tín thác ở USA, REIT ở Úc trải qua giai đoạn phát triển chậm chạp những năm 1970 và 1980. Chỉ đến thập niên 90, các Quỹ Tín thác BĐS mới bắt đầu thu hút sự chú ý của các nhà đầu tư, giai đoạn này nhiều quỹ không niêm yết đã chọn con đường thị trường chứng khoán Úc để chuyển những tài sản bất động sản vào các Quỹ tín thác BĐS được niêm yết. Vào năm 2005, khu vực Quỹ tín thác BĐS được niêm yết trở thành thành tố lớn thứ ba trong chỉ số S&amp;P/ASX 300, 29 cổ phiếu Quỹ Tín thác BĐS được niêm yết trong chỉ số chiếm 10% tổng vốn cổ phiếu trong chỉ số S&amp;P/ASX 300. </w:t>
      </w:r>
    </w:p>
    <w:p w14:paraId="665DC4C8"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Ở Úc, các Quỹ tín thác BĐS được niêm yết có thể theo một trong hai cơ cấu: quỹ tín thác đơn lẻ truyền thống và quỹ tín thác trao đổi cổ phiếu với một công ty quản lý quỹ - staple securities (có nghĩa là nhà đầu tư sở hữu 2 cổ phiếu: một cổ phiếu của Quỹ tín thác, và một cổ phiếu của công ty quản lý. Nhưng hai cổ phiếu này không được bán ra riêng lẻ mà phải bán chung với nhau). Đối với kiểu cơ cấu công ty tín thác đơn lẻ truyền thống, thường được biết đến như một công ty tín thác được quản lý từ bên ngoài, các quỹ tín thác BĐS được niêm yết liên quan đến một pháp nhân chịu trách nhiệm (Responsibility Entity – RE) hay một nhà quản lý quỹ độc lập để thực hiện chức năng mua, bán và quản lý tài sản BĐS. Phí bao gồm phí cơ bản và phí hiệu quả hoạt động sẽ được trả cho RE và nhà quản lý quỹ cho các dịch vụ quản lý tài sản. Cơ cấu quỹ tín thác trao đổi cổ </w:t>
      </w:r>
      <w:r>
        <w:rPr>
          <w:rFonts w:ascii="Times New Roman" w:hAnsi="Times New Roman" w:cs="Times New Roman"/>
          <w:sz w:val="28"/>
          <w:szCs w:val="28"/>
        </w:rPr>
        <w:lastRenderedPageBreak/>
        <w:t xml:space="preserve">phiếu với công ty quản lý quỹ hiện đang rất phổ biến trong các quỹ tín thác BĐS được niêm yết tại Úc. Bằng cách kết hợp cổ phiếu của một công ty quản lý quỹ và phát triển BĐS thành một cổ phiếu của Quỹ tín thác BĐS được niêm yết, chứng khoán này cho phép các nhà đầu tư liên quan đến danh mục đầu tư BĐS và các hoạt động quản lý quỹ và phát triển do các công ty đảm nhiệm. Chứng khoán này không thể được giao dịch đơn lẻ. Mô hình này chứa những đặc điểm của các REIT quản lý nội bộ ở USA, cung cấp lợi nhuận nhiều hơn cho nhà quản lý quỹ và nhà đầu tư. </w:t>
      </w:r>
    </w:p>
    <w:p w14:paraId="36532BF6" w14:textId="77777777" w:rsidR="00692C69" w:rsidRDefault="0013194A">
      <w:pPr>
        <w:spacing w:after="0" w:line="360" w:lineRule="exact"/>
        <w:ind w:firstLine="720"/>
        <w:jc w:val="both"/>
        <w:rPr>
          <w:rFonts w:ascii="Times New Roman" w:hAnsi="Times New Roman" w:cs="Times New Roman"/>
          <w:i/>
          <w:sz w:val="28"/>
          <w:szCs w:val="28"/>
        </w:rPr>
      </w:pPr>
      <w:r>
        <w:rPr>
          <w:rFonts w:ascii="Times New Roman" w:hAnsi="Times New Roman" w:cs="Times New Roman"/>
          <w:i/>
          <w:sz w:val="28"/>
          <w:szCs w:val="28"/>
        </w:rPr>
        <w:t>- Tại</w:t>
      </w:r>
      <w:r>
        <w:rPr>
          <w:rFonts w:ascii="Times New Roman" w:hAnsi="Times New Roman" w:cs="Times New Roman"/>
          <w:i/>
          <w:sz w:val="28"/>
          <w:szCs w:val="28"/>
          <w:lang w:val="vi-VN"/>
        </w:rPr>
        <w:t xml:space="preserve"> Singapore</w:t>
      </w:r>
      <w:r>
        <w:rPr>
          <w:rFonts w:ascii="Times New Roman" w:hAnsi="Times New Roman" w:cs="Times New Roman"/>
          <w:i/>
          <w:sz w:val="28"/>
          <w:szCs w:val="28"/>
        </w:rPr>
        <w:t xml:space="preserve">: </w:t>
      </w:r>
      <w:r>
        <w:rPr>
          <w:rFonts w:ascii="Times New Roman" w:hAnsi="Times New Roman" w:cs="Times New Roman"/>
          <w:sz w:val="28"/>
          <w:szCs w:val="28"/>
        </w:rPr>
        <w:t xml:space="preserve">Ở Singapore, ý tưởng tạo lập thị trường REIT được ủy ban cố vấn thị trường BĐS đưa ra lần đầu tiên vào năm 1986 với nhiệm vụ làm vực dậy thị trường BĐS đang trì trệ. Ý tưởng REIT lúc bấy giờ đã không được chấp thuận. Vào tháng 5 năm 1999, một bước tích cực hơn được Cơ quan quản lý tiền tệ Singapore thực hiện đưa ra hướng dẫn quỹ BĐS. Sau đó, Capital Land đã tích cực thành lập REIT, đó là quỹ tín thác BĐS Singmall (SPT) vào tháng 11 năm 2001. Tuy nhiên nỗ lực này đã thất bại do những cổ phiếu giao dịch phiên đầu tiên không được nhiều người mua. Gia nhập thị trường không đúng lúc và thiếu minh bạch thuế là hai nhân tố góp phần làm thị trường REIT mới mở nhận được những phản hồi không mấy tích cực. Tháng 7 năm 2002, Capital Land tái cấu trúc SPT có cùng danh mục đầu tư của ba BĐS bán lẻ (Junction 8, Tampines Mall, Funan IT mall) và khai trương lại một lần nữa quỹ này dưới tên “Quỹ tín thác CapitalMall (CMT). Việc niêm yết cổ phiếu CMT được đón nhận tốt với số lượng đăng ký mua cổ phiếu gấp 5 lần số cổ phiếu niêm yết. Niêm yết thành công CMT đánh dấu một bước ngoặt cho thị trường REIT ở Singapore. Từ đó CMT đã tạo đà phát triển mạnh mẽ và Ascendas REIT (A-Reit) do CMT thành lập đã phát hành cổ phiếu ra công chúng lần đầu vào tháng 11 năm 2002. Các cổ phiếu giao dịch đầu tiên của A-Reits được đăng ký mua gấp 5 lần số cổ phiếu. Sự minh bạch thuế do Cơ quan quản lý thuế nội địa Singapore tạo ra được cho là yếu tố thành công then chốt đối với hai quỹ REIT. Lợi nhuận hấp dẫn dự kiến là 7% cho CMT và 8% cho A-Reit cũng là một nhân tố khác tạo nên những phản hồi mạnh mẽ từ công chúng cho khởi đầu niêm yết trên sàn của hai quỹ REIT. </w:t>
      </w:r>
    </w:p>
    <w:p w14:paraId="2FCA4726"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Tháng 10 năm 2005, bảy quỹ REIT được niêm yết trên thị trường chứng khoán Singapore. Tổng giá trị vốn hóa thị trường của bảy REIT dựa trên giá thị trường và cổ phiếu được phát hành vào Quý 4 năm 2005 được ước tính là 6,68 tỷ đô la Mỹ (11,35 tỷ đô la Singapore). Thị trường vẫn còn tương đối nhỏ, thấp hơn 2,1% so với thị trường Mỹ theo giá thị trường. </w:t>
      </w:r>
    </w:p>
    <w:p w14:paraId="7E183AEB" w14:textId="77777777" w:rsidR="00692C69" w:rsidRDefault="0013194A">
      <w:pPr>
        <w:spacing w:after="0" w:line="360" w:lineRule="exact"/>
        <w:ind w:firstLine="720"/>
        <w:jc w:val="both"/>
        <w:rPr>
          <w:rFonts w:ascii="Times New Roman" w:hAnsi="Times New Roman" w:cs="Times New Roman"/>
          <w:i/>
          <w:sz w:val="28"/>
          <w:szCs w:val="28"/>
        </w:rPr>
      </w:pPr>
      <w:r>
        <w:rPr>
          <w:rFonts w:ascii="Times New Roman" w:hAnsi="Times New Roman" w:cs="Times New Roman"/>
          <w:i/>
          <w:sz w:val="28"/>
          <w:szCs w:val="28"/>
        </w:rPr>
        <w:t>- Tại</w:t>
      </w:r>
      <w:r>
        <w:rPr>
          <w:rFonts w:ascii="Times New Roman" w:hAnsi="Times New Roman" w:cs="Times New Roman"/>
          <w:i/>
          <w:sz w:val="28"/>
          <w:szCs w:val="28"/>
          <w:lang w:val="vi-VN"/>
        </w:rPr>
        <w:t xml:space="preserve"> </w:t>
      </w:r>
      <w:r>
        <w:rPr>
          <w:rFonts w:ascii="Times New Roman" w:hAnsi="Times New Roman" w:cs="Times New Roman"/>
          <w:i/>
          <w:sz w:val="28"/>
          <w:szCs w:val="28"/>
        </w:rPr>
        <w:t xml:space="preserve">Anh Quốc: </w:t>
      </w:r>
      <w:r>
        <w:rPr>
          <w:rFonts w:ascii="Times New Roman" w:hAnsi="Times New Roman" w:cs="Times New Roman"/>
          <w:sz w:val="28"/>
          <w:szCs w:val="28"/>
        </w:rPr>
        <w:t>REIT ở Anh được hình thành theo Luật Tài chính 2006 (ngày 17/7/2006 – được bổ sung năm 2007) và có hiệu lực từ 01/1/2007. Vào ngày 01/4/2008, 18 tập đoàn BĐS Anh quốc được chọn chuyển thành REIT. Hiện có 22 REITs đang niêm yết tại thị trường chứng khoán của UK với giá trị vốn hóa tính đến cuối 2009 là 37 tỷ USD.</w:t>
      </w:r>
    </w:p>
    <w:p w14:paraId="02993978"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Điều kiện để một công ty chuyển sang REIT: </w:t>
      </w:r>
    </w:p>
    <w:p w14:paraId="4B3E59E1"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Tọa lạc tại Anh; </w:t>
      </w:r>
    </w:p>
    <w:p w14:paraId="320AE9CE"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Cổ phiếu niêm yết trên sở giao dịch có uy tín; </w:t>
      </w:r>
    </w:p>
    <w:p w14:paraId="67B83EE1"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Chỉ phát hành một loại cổ phiếu thường và có thể có cổ phần ưu đãi không có quyền biểu quyết (có lãi suất cố định);</w:t>
      </w:r>
    </w:p>
    <w:p w14:paraId="22511CAD"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Công ty chuyển đổi không phải là một Công ty đầu tư dạng mở (OEIC) nhưng cũng không phải là công ty dạng kinh doanh nhỏ (close company);</w:t>
      </w:r>
    </w:p>
    <w:p w14:paraId="1CC5D1A5"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Công ty này cũng không có liên quan đến việc cho vay, mượn;</w:t>
      </w:r>
    </w:p>
    <w:p w14:paraId="6C0874A4"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Khi chuyển thành REIT, hàng năm phải nộp 2 bảng kê khai thuế và 3 Báo cáo tài chính để chứng tỏ REIT đã đáp ứng điều kiện kiểm tra;</w:t>
      </w:r>
    </w:p>
    <w:p w14:paraId="1B6F9F48"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Vốn tối thiểu là 700 ngàn GDP. Có thể tự quản lý hoặc được quản lý bên ngoài. Một cổ đông không thể nắm giữ hơn 10% tổng số cổ phiếu có quyền biểu quyết. REIT bắt buộc phải niêm yết trên Sở Giao dịch London hoặc các Sở Giao dịch khác theo quy định. REIT phải nắm giữ ít nhất là 3 tài sản riêng lẻ, một tài sản không chiếm hơn 40% thị giá của toàn danh mục đầu tư.</w:t>
      </w:r>
    </w:p>
    <w:p w14:paraId="243E4F9F" w14:textId="77777777" w:rsidR="00692C69" w:rsidRDefault="0013194A">
      <w:pPr>
        <w:spacing w:after="0" w:line="360" w:lineRule="exact"/>
        <w:ind w:firstLine="720"/>
        <w:jc w:val="both"/>
        <w:rPr>
          <w:rFonts w:ascii="Times New Roman" w:hAnsi="Times New Roman" w:cs="Times New Roman"/>
          <w:b/>
          <w:bCs/>
          <w:i/>
          <w:iCs/>
          <w:sz w:val="28"/>
          <w:szCs w:val="28"/>
        </w:rPr>
      </w:pPr>
      <w:r>
        <w:rPr>
          <w:rFonts w:ascii="Times New Roman" w:hAnsi="Times New Roman" w:cs="Times New Roman"/>
          <w:b/>
          <w:bCs/>
          <w:i/>
          <w:iCs/>
          <w:sz w:val="28"/>
          <w:szCs w:val="28"/>
        </w:rPr>
        <w:t xml:space="preserve">6.3. Chứng khoán hóa thế chấp </w:t>
      </w:r>
    </w:p>
    <w:p w14:paraId="05813EAA" w14:textId="77777777" w:rsidR="00692C69" w:rsidRDefault="0013194A">
      <w:pPr>
        <w:spacing w:after="0" w:line="360" w:lineRule="exact"/>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Chứng khoán hoá được hiểu là việc tái cơ cấu một tập hợp những khoản phải thu và đưa chúng về dạng thức có thể chuyển nhượng được. Những khoản phát sinh từ nghiệp vụ này có thể là cổ phiếu hoặc trái phiếu, nhưng nhìn chung chúng đều phải dựa trên một tập hợp các tài sản chính hay các khoản phải thu. Mục tiêu của chứng khoán hoá là nhằm tách biệt rủi ro mất khả năng thanh toán của người chủ sở hữu tài sản/các khoản thu ban đầu với rủi ro của các tài sản hay các khoản phải thu đó. </w:t>
      </w:r>
    </w:p>
    <w:p w14:paraId="4A4DA034" w14:textId="77777777" w:rsidR="00692C69" w:rsidRDefault="0013194A">
      <w:pPr>
        <w:spacing w:after="0" w:line="360" w:lineRule="exact"/>
        <w:ind w:firstLine="720"/>
        <w:jc w:val="both"/>
        <w:rPr>
          <w:rFonts w:ascii="Times New Roman" w:hAnsi="Times New Roman" w:cs="Times New Roman"/>
          <w:i/>
          <w:sz w:val="28"/>
          <w:szCs w:val="28"/>
          <w:lang w:val="vi-VN"/>
        </w:rPr>
      </w:pPr>
      <w:r>
        <w:rPr>
          <w:rFonts w:ascii="Times New Roman" w:hAnsi="Times New Roman" w:cs="Times New Roman"/>
          <w:i/>
          <w:sz w:val="28"/>
          <w:szCs w:val="28"/>
        </w:rPr>
        <w:t>- Tại</w:t>
      </w:r>
      <w:r>
        <w:rPr>
          <w:rFonts w:ascii="Times New Roman" w:hAnsi="Times New Roman" w:cs="Times New Roman"/>
          <w:i/>
          <w:sz w:val="28"/>
          <w:szCs w:val="28"/>
          <w:lang w:val="vi-VN"/>
        </w:rPr>
        <w:t xml:space="preserve"> Malaysia</w:t>
      </w:r>
      <w:r>
        <w:rPr>
          <w:rFonts w:ascii="Times New Roman" w:hAnsi="Times New Roman" w:cs="Times New Roman"/>
          <w:i/>
          <w:sz w:val="28"/>
          <w:szCs w:val="28"/>
        </w:rPr>
        <w:t xml:space="preserve">: </w:t>
      </w:r>
      <w:r>
        <w:rPr>
          <w:rFonts w:ascii="Times New Roman" w:hAnsi="Times New Roman" w:cs="Times New Roman"/>
          <w:sz w:val="28"/>
          <w:szCs w:val="28"/>
          <w:lang w:val="vi-VN"/>
        </w:rPr>
        <w:t xml:space="preserve">Tháng 12/1986, ngân hàng </w:t>
      </w:r>
      <w:r>
        <w:rPr>
          <w:rFonts w:ascii="Times New Roman" w:hAnsi="Times New Roman" w:cs="Times New Roman"/>
          <w:sz w:val="28"/>
          <w:szCs w:val="28"/>
        </w:rPr>
        <w:t>T</w:t>
      </w:r>
      <w:r>
        <w:rPr>
          <w:rFonts w:ascii="Times New Roman" w:hAnsi="Times New Roman" w:cs="Times New Roman"/>
          <w:sz w:val="28"/>
          <w:szCs w:val="28"/>
          <w:lang w:val="vi-VN"/>
        </w:rPr>
        <w:t>rung ương Malaysia đã được C</w:t>
      </w:r>
      <w:r>
        <w:rPr>
          <w:rFonts w:ascii="Times New Roman" w:hAnsi="Times New Roman" w:cs="Times New Roman"/>
          <w:sz w:val="28"/>
          <w:szCs w:val="28"/>
        </w:rPr>
        <w:t>hính phủ</w:t>
      </w:r>
      <w:r>
        <w:rPr>
          <w:rFonts w:ascii="Times New Roman" w:hAnsi="Times New Roman" w:cs="Times New Roman"/>
          <w:sz w:val="28"/>
          <w:szCs w:val="28"/>
          <w:lang w:val="vi-VN"/>
        </w:rPr>
        <w:t xml:space="preserve"> cho phép thành lập Công ty thế chấp quốc gia (Cagamas) để hình thành thị trường thế chấp thứ cấp, nhằm khuyến khích sở hữu BĐS của người dân; và phát triển thị trường chứng khoán nợ tư nhân (thị trường vốn). Cagamas mua lại các khoản cho vay BĐS từ các ngân hàng, sau đó dựa trên các </w:t>
      </w:r>
      <w:r>
        <w:rPr>
          <w:rFonts w:ascii="Times New Roman" w:hAnsi="Times New Roman" w:cs="Times New Roman"/>
          <w:sz w:val="28"/>
          <w:szCs w:val="28"/>
        </w:rPr>
        <w:t>khoản</w:t>
      </w:r>
      <w:r>
        <w:rPr>
          <w:rFonts w:ascii="Times New Roman" w:hAnsi="Times New Roman" w:cs="Times New Roman"/>
          <w:sz w:val="28"/>
          <w:szCs w:val="28"/>
          <w:lang w:val="vi-VN"/>
        </w:rPr>
        <w:t xml:space="preserve"> cho vay đã được mua lại đó Cagamas phát hành trái phiếu để huy động vốn từ thị trường. Nguồn vốn huy động tiếp tục được mua lại các khoản cho vay BĐS của các ngân hàng. Như vậy Cagamas là định chế tài chính trung gia</w:t>
      </w:r>
      <w:r>
        <w:rPr>
          <w:rFonts w:ascii="Times New Roman" w:hAnsi="Times New Roman" w:cs="Times New Roman"/>
          <w:sz w:val="28"/>
          <w:szCs w:val="28"/>
        </w:rPr>
        <w:t>n</w:t>
      </w:r>
      <w:r>
        <w:rPr>
          <w:rFonts w:ascii="Times New Roman" w:hAnsi="Times New Roman" w:cs="Times New Roman"/>
          <w:sz w:val="28"/>
          <w:szCs w:val="28"/>
          <w:lang w:val="vi-VN"/>
        </w:rPr>
        <w:t xml:space="preserve"> nhằm huy động vốn cho thị trường tài chính BĐS. Thông qua việc thành lập và hoạt động của công ty thế chấp quốc gia Cagamas, Malaysia đã loại trừ các khó khăn thanh toán của các tổ chức vay sơ cấp bằng cách thu hẹp khoảng cách giữa cơ cấu đáo hạn của các nguồn vốn và của các khoản vay BĐS, giảm rủi ro lãi suất mà các tổ chức cho vay sơ cấp gặp phải bằng cách cung cấp cho họ các nguồn vốn có lãi suất cố định và giúp khu vực tài chính bằng cách tạo nên các lựa chọn đầu tư mới, đặc biệt là các chứng khoán có thu nhập cố định. Sau 10 năm, Cagamas được đánh giá là mô hình thế chấp thứ cấp thành công, chiếm 41% thị phần tài chính BĐS của </w:t>
      </w:r>
      <w:r>
        <w:rPr>
          <w:rFonts w:ascii="Times New Roman" w:hAnsi="Times New Roman" w:cs="Times New Roman"/>
          <w:sz w:val="28"/>
          <w:szCs w:val="28"/>
          <w:lang w:val="vi-VN"/>
        </w:rPr>
        <w:lastRenderedPageBreak/>
        <w:t>Malaysia. Sự thành công của mô hình này có một phần chính sách hỗ trợ quan trọng của C</w:t>
      </w:r>
      <w:r>
        <w:rPr>
          <w:rFonts w:ascii="Times New Roman" w:hAnsi="Times New Roman" w:cs="Times New Roman"/>
          <w:sz w:val="28"/>
          <w:szCs w:val="28"/>
          <w:lang w:val="en-GB"/>
        </w:rPr>
        <w:t>hính phủ</w:t>
      </w:r>
      <w:r>
        <w:rPr>
          <w:rFonts w:ascii="Times New Roman" w:hAnsi="Times New Roman" w:cs="Times New Roman"/>
          <w:sz w:val="28"/>
          <w:szCs w:val="28"/>
          <w:lang w:val="vi-VN"/>
        </w:rPr>
        <w:t xml:space="preserve"> thông qua 4 biện pháp: </w:t>
      </w:r>
    </w:p>
    <w:p w14:paraId="1F07B752" w14:textId="77777777" w:rsidR="00692C69" w:rsidRDefault="0013194A">
      <w:pPr>
        <w:spacing w:after="0" w:line="360" w:lineRule="exact"/>
        <w:ind w:firstLine="720"/>
        <w:jc w:val="both"/>
        <w:rPr>
          <w:rFonts w:ascii="Times New Roman" w:hAnsi="Times New Roman" w:cs="Times New Roman"/>
          <w:iCs/>
          <w:sz w:val="28"/>
          <w:szCs w:val="28"/>
        </w:rPr>
      </w:pPr>
      <w:r>
        <w:rPr>
          <w:rFonts w:ascii="Times New Roman" w:hAnsi="Times New Roman" w:cs="Times New Roman"/>
          <w:iCs/>
          <w:sz w:val="28"/>
          <w:szCs w:val="28"/>
          <w:lang w:val="vi-VN"/>
        </w:rPr>
        <w:t xml:space="preserve">Một là, nguồn vốn các định chế tài chính thu được từ việc bán các </w:t>
      </w:r>
      <w:r>
        <w:rPr>
          <w:rFonts w:ascii="Times New Roman" w:hAnsi="Times New Roman" w:cs="Times New Roman"/>
          <w:iCs/>
          <w:sz w:val="28"/>
          <w:szCs w:val="28"/>
        </w:rPr>
        <w:t xml:space="preserve">khoản </w:t>
      </w:r>
      <w:r>
        <w:rPr>
          <w:rFonts w:ascii="Times New Roman" w:hAnsi="Times New Roman" w:cs="Times New Roman"/>
          <w:iCs/>
          <w:sz w:val="28"/>
          <w:szCs w:val="28"/>
          <w:lang w:val="vi-VN"/>
        </w:rPr>
        <w:t>vay BĐS cho Cagamas được miễn yêu cầu dự trữ bắt buộc và thanh khoản theo quy định, nhờ vậy giúp giảm chi phí nguồn vốn cho người vay so với nguồn vốn có được dưới hình thức tiền gửi</w:t>
      </w:r>
      <w:r>
        <w:rPr>
          <w:rFonts w:ascii="Times New Roman" w:hAnsi="Times New Roman" w:cs="Times New Roman"/>
          <w:iCs/>
          <w:sz w:val="28"/>
          <w:szCs w:val="28"/>
        </w:rPr>
        <w:t>.</w:t>
      </w:r>
    </w:p>
    <w:p w14:paraId="061082C2" w14:textId="77777777" w:rsidR="00692C69" w:rsidRDefault="0013194A">
      <w:pPr>
        <w:spacing w:after="0" w:line="360" w:lineRule="exact"/>
        <w:ind w:firstLine="720"/>
        <w:jc w:val="both"/>
        <w:rPr>
          <w:rFonts w:ascii="Times New Roman" w:hAnsi="Times New Roman" w:cs="Times New Roman"/>
          <w:iCs/>
          <w:sz w:val="28"/>
          <w:szCs w:val="28"/>
        </w:rPr>
      </w:pPr>
      <w:r>
        <w:rPr>
          <w:rFonts w:ascii="Times New Roman" w:hAnsi="Times New Roman" w:cs="Times New Roman"/>
          <w:iCs/>
          <w:sz w:val="28"/>
          <w:szCs w:val="28"/>
          <w:lang w:val="vi-VN"/>
        </w:rPr>
        <w:t>Hai là, chứng khoán của Cagamas được Ngân hàng T</w:t>
      </w:r>
      <w:r>
        <w:rPr>
          <w:rFonts w:ascii="Times New Roman" w:hAnsi="Times New Roman" w:cs="Times New Roman"/>
          <w:iCs/>
          <w:sz w:val="28"/>
          <w:szCs w:val="28"/>
        </w:rPr>
        <w:t>rung ương</w:t>
      </w:r>
      <w:r>
        <w:rPr>
          <w:rFonts w:ascii="Times New Roman" w:hAnsi="Times New Roman" w:cs="Times New Roman"/>
          <w:iCs/>
          <w:sz w:val="28"/>
          <w:szCs w:val="28"/>
          <w:lang w:val="vi-VN"/>
        </w:rPr>
        <w:t xml:space="preserve"> công nhận là tài sản có khả năng thanh toán. Điều này có hiệu quả giảm lãi chứng khoán nợ Cagamas vì tạo ra nhu cầu mạnh từ tổ chức tài chính. Chi phí </w:t>
      </w:r>
      <w:r>
        <w:rPr>
          <w:rFonts w:ascii="Times New Roman" w:hAnsi="Times New Roman" w:cs="Times New Roman"/>
          <w:iCs/>
          <w:sz w:val="28"/>
          <w:szCs w:val="28"/>
        </w:rPr>
        <w:t xml:space="preserve">nguồn vốn </w:t>
      </w:r>
      <w:r>
        <w:rPr>
          <w:rFonts w:ascii="Times New Roman" w:hAnsi="Times New Roman" w:cs="Times New Roman"/>
          <w:iCs/>
          <w:sz w:val="28"/>
          <w:szCs w:val="28"/>
          <w:lang w:val="vi-VN"/>
        </w:rPr>
        <w:t>tương đối thấp được Cagamas chuyển tới các tổ chức cho vay sơ cấp, nhờ vậy tăng cường khả năng cho vay nhiều hơn với chi phí có thể thế chấp được, đặc biệt là mức lãi suất nhỏ hơn mức trần 9%/năm.</w:t>
      </w:r>
    </w:p>
    <w:p w14:paraId="42750845" w14:textId="77777777" w:rsidR="00692C69" w:rsidRDefault="0013194A">
      <w:pPr>
        <w:spacing w:after="0" w:line="360" w:lineRule="exact"/>
        <w:ind w:firstLine="720"/>
        <w:jc w:val="both"/>
        <w:rPr>
          <w:rFonts w:ascii="Times New Roman" w:hAnsi="Times New Roman" w:cs="Times New Roman"/>
          <w:iCs/>
          <w:sz w:val="28"/>
          <w:szCs w:val="28"/>
        </w:rPr>
      </w:pPr>
      <w:r>
        <w:rPr>
          <w:rFonts w:ascii="Times New Roman" w:hAnsi="Times New Roman" w:cs="Times New Roman"/>
          <w:iCs/>
          <w:sz w:val="28"/>
          <w:szCs w:val="28"/>
          <w:lang w:val="vi-VN"/>
        </w:rPr>
        <w:t>Ba là, việc phát hành chứng khoán nợ được miễn yêu cầu xin phê duyệt trước của U</w:t>
      </w:r>
      <w:r>
        <w:rPr>
          <w:rFonts w:ascii="Times New Roman" w:hAnsi="Times New Roman" w:cs="Times New Roman"/>
          <w:iCs/>
          <w:sz w:val="28"/>
          <w:szCs w:val="28"/>
        </w:rPr>
        <w:t>ỷ ban</w:t>
      </w:r>
      <w:r>
        <w:rPr>
          <w:rFonts w:ascii="Times New Roman" w:hAnsi="Times New Roman" w:cs="Times New Roman"/>
          <w:iCs/>
          <w:sz w:val="28"/>
          <w:szCs w:val="28"/>
          <w:lang w:val="vi-VN"/>
        </w:rPr>
        <w:t xml:space="preserve"> chứng khoán. Cagamas được miễn yêu cầu đăng ký và ra cáo bạch </w:t>
      </w:r>
      <w:r>
        <w:rPr>
          <w:rFonts w:ascii="Times New Roman" w:hAnsi="Times New Roman" w:cs="Times New Roman"/>
          <w:iCs/>
          <w:sz w:val="28"/>
          <w:szCs w:val="28"/>
        </w:rPr>
        <w:t xml:space="preserve">việc </w:t>
      </w:r>
      <w:r>
        <w:rPr>
          <w:rFonts w:ascii="Times New Roman" w:hAnsi="Times New Roman" w:cs="Times New Roman"/>
          <w:iCs/>
          <w:sz w:val="28"/>
          <w:szCs w:val="28"/>
          <w:lang w:val="vi-VN"/>
        </w:rPr>
        <w:t xml:space="preserve">công ty phát hành chứng khoán nợ. </w:t>
      </w:r>
    </w:p>
    <w:p w14:paraId="1ECB16F6"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iCs/>
          <w:sz w:val="28"/>
          <w:szCs w:val="28"/>
          <w:lang w:val="vi-VN"/>
        </w:rPr>
        <w:t>Bốn là, phát hành chứng khoán nợ được miễn yêu cầu xin phê duyệt trước ngân hàng T</w:t>
      </w:r>
      <w:r>
        <w:rPr>
          <w:rFonts w:ascii="Times New Roman" w:hAnsi="Times New Roman" w:cs="Times New Roman"/>
          <w:iCs/>
          <w:sz w:val="28"/>
          <w:szCs w:val="28"/>
        </w:rPr>
        <w:t>rung ương</w:t>
      </w:r>
      <w:r>
        <w:rPr>
          <w:rFonts w:ascii="Times New Roman" w:hAnsi="Times New Roman" w:cs="Times New Roman"/>
          <w:iCs/>
          <w:sz w:val="28"/>
          <w:szCs w:val="28"/>
          <w:lang w:val="vi-VN"/>
        </w:rPr>
        <w:t xml:space="preserve">. Cagamas </w:t>
      </w:r>
      <w:r>
        <w:rPr>
          <w:rFonts w:ascii="Times New Roman" w:hAnsi="Times New Roman" w:cs="Times New Roman"/>
          <w:sz w:val="28"/>
          <w:szCs w:val="28"/>
          <w:lang w:val="vi-VN"/>
        </w:rPr>
        <w:t>được ngân hàng T</w:t>
      </w:r>
      <w:r>
        <w:rPr>
          <w:rFonts w:ascii="Times New Roman" w:hAnsi="Times New Roman" w:cs="Times New Roman"/>
          <w:sz w:val="28"/>
          <w:szCs w:val="28"/>
        </w:rPr>
        <w:t>rung ương</w:t>
      </w:r>
      <w:r>
        <w:rPr>
          <w:rFonts w:ascii="Times New Roman" w:hAnsi="Times New Roman" w:cs="Times New Roman"/>
          <w:sz w:val="28"/>
          <w:szCs w:val="28"/>
          <w:lang w:val="vi-VN"/>
        </w:rPr>
        <w:t xml:space="preserve"> cấp phép vay vốn tại thị trường liên ngân hàng</w:t>
      </w:r>
      <w:r>
        <w:rPr>
          <w:rFonts w:ascii="Times New Roman" w:hAnsi="Times New Roman" w:cs="Times New Roman"/>
          <w:sz w:val="28"/>
          <w:szCs w:val="28"/>
        </w:rPr>
        <w:t>.</w:t>
      </w:r>
    </w:p>
    <w:p w14:paraId="703C9150" w14:textId="77777777" w:rsidR="00692C69" w:rsidRDefault="0013194A">
      <w:pPr>
        <w:spacing w:after="0" w:line="360" w:lineRule="exact"/>
        <w:ind w:firstLine="720"/>
        <w:jc w:val="both"/>
        <w:rPr>
          <w:rFonts w:ascii="Times New Roman" w:hAnsi="Times New Roman" w:cs="Times New Roman"/>
          <w:i/>
          <w:sz w:val="28"/>
          <w:szCs w:val="28"/>
          <w:lang w:val="vi-VN"/>
        </w:rPr>
      </w:pPr>
      <w:r>
        <w:rPr>
          <w:rFonts w:ascii="Times New Roman" w:hAnsi="Times New Roman" w:cs="Times New Roman"/>
          <w:i/>
          <w:sz w:val="28"/>
          <w:szCs w:val="28"/>
        </w:rPr>
        <w:t xml:space="preserve">- Tại </w:t>
      </w:r>
      <w:r>
        <w:rPr>
          <w:rFonts w:ascii="Times New Roman" w:hAnsi="Times New Roman" w:cs="Times New Roman"/>
          <w:i/>
          <w:sz w:val="28"/>
          <w:szCs w:val="28"/>
          <w:lang w:val="vi-VN"/>
        </w:rPr>
        <w:t xml:space="preserve">Úc và Newzeland </w:t>
      </w:r>
    </w:p>
    <w:p w14:paraId="5E9FA1DF"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lang w:val="vi-VN"/>
        </w:rPr>
        <w:t>Trái phiếu thế chấ</w:t>
      </w:r>
      <w:r>
        <w:rPr>
          <w:rFonts w:ascii="Times New Roman" w:hAnsi="Times New Roman" w:cs="Times New Roman"/>
          <w:sz w:val="28"/>
          <w:szCs w:val="28"/>
        </w:rPr>
        <w:t>p</w:t>
      </w:r>
      <w:r>
        <w:rPr>
          <w:rFonts w:ascii="Times New Roman" w:hAnsi="Times New Roman" w:cs="Times New Roman"/>
          <w:sz w:val="28"/>
          <w:szCs w:val="28"/>
          <w:lang w:val="vi-VN"/>
        </w:rPr>
        <w:t xml:space="preserve"> là chứng chỉ tiền gửi giúp người mua không cần phải đặt cọc khi thực hiện giao dịch mua. Bên phát hành chứng chỉ (thường là một công ty bảo hiểm) bảo đảm thanh toán khoản tiền gửi/tiền đặt cọc đó vào thời điểm thanh toán và chỉ thu về một khoản phí. Chứng chỉ tiền gửi thường được sử dụng trong các giao dịch mua bán đột xuất trong đó việc thanh toán có thể kéo dài tới ba năm kể từ khi ký kết hợp đồng. Theo ước tính của Ngân hàng dự trữ Liên bang Úc, chứng chỉ tiền gửi được sử dụng trong 20% các giao dịch về nhà ở tại Sydney. </w:t>
      </w:r>
    </w:p>
    <w:p w14:paraId="2D11D2F0" w14:textId="77777777" w:rsidR="00692C69" w:rsidRDefault="0013194A">
      <w:pPr>
        <w:spacing w:after="0" w:line="360" w:lineRule="exact"/>
        <w:ind w:firstLine="720"/>
        <w:jc w:val="both"/>
        <w:rPr>
          <w:rFonts w:ascii="Times New Roman" w:hAnsi="Times New Roman" w:cs="Times New Roman"/>
          <w:sz w:val="28"/>
          <w:szCs w:val="28"/>
          <w:lang w:val="vi-VN"/>
        </w:rPr>
      </w:pPr>
      <w:r>
        <w:rPr>
          <w:rFonts w:ascii="Times New Roman" w:hAnsi="Times New Roman" w:cs="Times New Roman"/>
          <w:sz w:val="28"/>
          <w:szCs w:val="28"/>
          <w:lang w:val="vi-VN"/>
        </w:rPr>
        <w:t xml:space="preserve">Một yếu tố ảnh hưởng khác trong lĩnh vực vay vốn đầu tư BĐS (cũng như mua để ở) là sự xuất hiện của các bên phát sinh thế chấp (mortgage originator) và các bên môi giới tài sản cầm cố trong thị trường cho vay trong nước từ giữa thập kỷ 90. Ước tính các bên môi giới tài sản thế chấp hiện đóng vai trò tổ chức cho trên 30% lượng giao dịch thế chấp nhà ở tại Úc. Tất cả các công ty môi giới thế chấp đều chào các khoản cho vay đầu tư, và coi đây là một phần trong dịch vụ của họ. Các bên phát sinh thế chấp và đối tượng môi giới thế chấp (mục tiêu hoa hồng) đã thúc đẩy mạnh mẽ sự gia tăng lượng vay đầu tư trong những năm gần đây. </w:t>
      </w:r>
    </w:p>
    <w:p w14:paraId="1FD5FC62" w14:textId="77777777" w:rsidR="00692C69" w:rsidRDefault="0013194A">
      <w:pPr>
        <w:spacing w:after="0" w:line="360" w:lineRule="exact"/>
        <w:ind w:firstLine="720"/>
        <w:jc w:val="both"/>
        <w:rPr>
          <w:rFonts w:ascii="Times New Roman" w:hAnsi="Times New Roman" w:cs="Times New Roman"/>
          <w:b/>
          <w:bCs/>
          <w:sz w:val="28"/>
          <w:szCs w:val="28"/>
        </w:rPr>
      </w:pPr>
      <w:r>
        <w:rPr>
          <w:rFonts w:ascii="Times New Roman" w:hAnsi="Times New Roman" w:cs="Times New Roman"/>
          <w:b/>
          <w:bCs/>
          <w:sz w:val="28"/>
          <w:szCs w:val="28"/>
        </w:rPr>
        <w:t xml:space="preserve">7. Quản lý sử dụng nhà chung cư </w:t>
      </w:r>
    </w:p>
    <w:p w14:paraId="6F40021B" w14:textId="77777777" w:rsidR="00692C69" w:rsidRDefault="0013194A">
      <w:pPr>
        <w:spacing w:after="0" w:line="360" w:lineRule="exact"/>
        <w:ind w:left="360" w:firstLine="360"/>
        <w:jc w:val="both"/>
        <w:rPr>
          <w:rFonts w:ascii="Times New Roman" w:hAnsi="Times New Roman" w:cs="Times New Roman"/>
          <w:sz w:val="28"/>
          <w:szCs w:val="28"/>
        </w:rPr>
      </w:pPr>
      <w:r>
        <w:rPr>
          <w:rFonts w:ascii="Times New Roman" w:hAnsi="Times New Roman" w:cs="Times New Roman"/>
          <w:bCs/>
          <w:i/>
          <w:sz w:val="28"/>
          <w:szCs w:val="28"/>
        </w:rPr>
        <w:t>7.1. Nhật Bản</w:t>
      </w:r>
      <w:r>
        <w:rPr>
          <w:rFonts w:ascii="Times New Roman" w:hAnsi="Times New Roman" w:cs="Times New Roman"/>
          <w:sz w:val="28"/>
          <w:szCs w:val="28"/>
        </w:rPr>
        <w:t xml:space="preserve"> </w:t>
      </w:r>
    </w:p>
    <w:p w14:paraId="059DC318"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Tất cả các chủ sở hữu căn hộ cùng nhau có thể thành lập một hiệp hội để quản lý tòa nhà và các sở sở vật chất trong tòa nhà theo quy định của Đạo luật về sở hữu công trình xây dựng. Hiệp hội quản lý tòa nhà bầu ra chủ tịch/người quản </w:t>
      </w:r>
      <w:r>
        <w:rPr>
          <w:rFonts w:ascii="Times New Roman" w:hAnsi="Times New Roman" w:cs="Times New Roman"/>
          <w:sz w:val="28"/>
          <w:szCs w:val="28"/>
        </w:rPr>
        <w:lastRenderedPageBreak/>
        <w:t xml:space="preserve">lý. Người quản lý này sẽ chịu trách nhiệm thuê đơn vị quản lý vận hành tòa nhà theo các quy định của pháp luật và được sự nhất trí từ phía các thành viên trong hiệp hội. Đơn vị quản lý vận hành có trách nhiệm thu phí và thực hiện các công việc theo thỏa thuận. </w:t>
      </w:r>
    </w:p>
    <w:p w14:paraId="105217CF"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Có 2 loại phí: (thu theo tháng) đó là phí quản lý vận hành và phí bảo trì. Phí quản lý vận hành được dùng cho các khoản chi quản lý, vận hành và sửa chữa tòa nhà, phí bảo trì được gửi vào quỹ để chi cho các khoản sửa chữa lớn trong tương lại. Thường thì trong hợp đồng mua bán, khoản phí bảo trì sẽ được quy định rõ, thời điểm nào là thời điểm tăng phí (ví dụ: sau 5 năm, phí bảo trì sẽ tăng gấp đôi, sau 10 năm sẽ tăng gấp </w:t>
      </w:r>
      <w:proofErr w:type="gramStart"/>
      <w:r>
        <w:rPr>
          <w:rFonts w:ascii="Times New Roman" w:hAnsi="Times New Roman" w:cs="Times New Roman"/>
          <w:sz w:val="28"/>
          <w:szCs w:val="28"/>
        </w:rPr>
        <w:t>3,...</w:t>
      </w:r>
      <w:proofErr w:type="gramEnd"/>
      <w:r>
        <w:rPr>
          <w:rFonts w:ascii="Times New Roman" w:hAnsi="Times New Roman" w:cs="Times New Roman"/>
          <w:sz w:val="28"/>
          <w:szCs w:val="28"/>
        </w:rPr>
        <w:t xml:space="preserve">) do tuổi đời của các tòa nhà càng cao thì phí bảo trì cũng tăng lên để đảm bảo quỹ đủ ngân sách thực hiện các khoản sửa chữa lớn. </w:t>
      </w:r>
    </w:p>
    <w:p w14:paraId="38681A7F" w14:textId="77777777" w:rsidR="00692C69" w:rsidRDefault="0013194A">
      <w:pPr>
        <w:spacing w:after="0" w:line="360" w:lineRule="exact"/>
        <w:jc w:val="both"/>
        <w:rPr>
          <w:rFonts w:ascii="Times New Roman" w:hAnsi="Times New Roman" w:cs="Times New Roman"/>
          <w:i/>
          <w:iCs/>
          <w:sz w:val="28"/>
          <w:szCs w:val="28"/>
        </w:rPr>
      </w:pPr>
      <w:r>
        <w:rPr>
          <w:rFonts w:ascii="Times New Roman" w:hAnsi="Times New Roman" w:cs="Times New Roman"/>
          <w:i/>
          <w:iCs/>
          <w:sz w:val="28"/>
          <w:szCs w:val="28"/>
        </w:rPr>
        <w:tab/>
        <w:t xml:space="preserve">7.2. Hàn Quốc </w:t>
      </w:r>
    </w:p>
    <w:p w14:paraId="0CCD39C1"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t xml:space="preserve">Tại Hàn Quốc, một tòa nhà hỗn hợp được chia thành nhiều diện tích khác nhau thì người sử dụng được cấp quyền sở hữu riêng đối với từng phần diện tích này. Khu vực sử dụng chung là phần sở hữu chung của tất cả những chủ sở hữu theo phần, việc thay đổi phần sử dụng chung được quyết định khi trên ¾ chủ sở hữu theo phần hoặc trên ¾ quyền biểu quyết của tất cả chủ sở hữu theo phần quyết định. Quyền sử dụng khu đất của chủ sở hữu theo phần được tính theo tỷ lệ sở hữu theo phần của người đó. </w:t>
      </w:r>
    </w:p>
    <w:p w14:paraId="382D5CC2"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t xml:space="preserve">Giống như ở Việt Nam, Hàn Quốc quy định về việc thành lập Ban Quản trị tòa nhà bao gồm một chủ tịch, một phó chủ tịch phụ trách khu căn hộ, một phó chủ tịch phụ trách khu thương mại và một người kiểm tra. Nhiệm kỳ của BQT là 2 năm và có thể tái nhiệm một lần. Hội nghị nhà chung cư được tổ chức định kỳ, đột xuất hoặc bất thường. Việc quản lý vận hành tòa nhà có thể thực hiện theo hình thức tự quản lý hoặc ủy thác quản lý (BQT lựa chọn đơn vị quản lý vận hành theo hình thức đấu thầu cạnh tranh). Các công việc của đơn vị quản lý vận hành bao gồm: bảo trì và quản lý an toàn đối với phần sử dụng chung trong tòa nhà hỗn hợp, bảo vệ, dọn dẹp, khử trùng, thu gom rác, thu phí quản lý, phí sử dụng và các khoản thuê quốc gia, thuế địa phương, thu, lập và quản lý quỹ bảo trì dài hạn, chấp hành các nội dung được quyết định bởi BQT, công khai tuyên truyền các công việc quản lý, hướng dẫn, chỉ đạo phương pháp sử dụng các công trình thiết bị chung, ngăn chặn các hành vi chiếm hữu không phép các công trình phụ trợ, công trình phúc lợi cũng như khu đất sử dụng chung và xử lý khi có các hành vi vi phạm, xử lý khi có các sự cố an toàn, an ninh. Phí quản lý vận hành và phí bảo trì được tính toán theo từng tháng vào tài khoản tiết kiệm tại ngân hàng tuy nhiên Phí Bảo trì được nộp vào tk riêng, không được nộp chung với phí quản lý, cư dân có trách nhiệm nộp phí này cho đơn vị quản lý vận hành. </w:t>
      </w:r>
    </w:p>
    <w:p w14:paraId="3F4C486E"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t>Tất cả các loại phí đều được nộp định kỳ hàng tháng, bao gồm:</w:t>
      </w:r>
    </w:p>
    <w:p w14:paraId="6C838883"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Phí Quản lý </w:t>
      </w:r>
    </w:p>
    <w:p w14:paraId="0D1900A8"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Phí Sử dụng </w:t>
      </w:r>
    </w:p>
    <w:p w14:paraId="133AD246"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lastRenderedPageBreak/>
        <w:t xml:space="preserve">- Phí bảo trì nộp vào Quỹ bảo trì dài hạn (Kế hoạch sửa chữa dài hạn 5,10,20 </w:t>
      </w:r>
      <w:proofErr w:type="gramStart"/>
      <w:r>
        <w:rPr>
          <w:rFonts w:ascii="Times New Roman" w:hAnsi="Times New Roman" w:cs="Times New Roman"/>
          <w:sz w:val="28"/>
          <w:szCs w:val="28"/>
        </w:rPr>
        <w:t>năm,...</w:t>
      </w:r>
      <w:proofErr w:type="gramEnd"/>
      <w:r>
        <w:rPr>
          <w:rFonts w:ascii="Times New Roman" w:hAnsi="Times New Roman" w:cs="Times New Roman"/>
          <w:sz w:val="28"/>
          <w:szCs w:val="28"/>
        </w:rPr>
        <w:t>được chủ đầu tư trình cơ quan có thẩm quyền phê duyệt, tổng kinh phí bảo trì được tính toán dựa theo tuổi đời của tòa nhà mới là khoảng 40 năm và được xem xét lại sau mỗi 3 năm)</w:t>
      </w:r>
    </w:p>
    <w:p w14:paraId="52A18578"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t xml:space="preserve">Ví dụ: tổng chi phí sửa chữa dài hạn theo Kế hoạch sửa chữa đã được cơ quan quản lý địa phương thông qua là 40 tỷ VND trong 40 năm, diện tích phần sở hữu chung là 50,000m2. </w:t>
      </w:r>
    </w:p>
    <w:p w14:paraId="198A35B9"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 xml:space="preserve">Thời hạn sửa chữa được định kỳ 10 năm/lần với tỷ lệ sửa chữa áp dụng lần lượt là 20% (10 năm đầu tiên), 30% (10 năm tiếp theo, 30% (10 năm tiếp) và 20% (10 năm cuối cùng) </w:t>
      </w:r>
    </w:p>
    <w:p w14:paraId="663BA79D"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Như vậy, theo công thức thì phí bảo trì hàng tháng của 10 năm đầu tiên được tính như sau: </w:t>
      </w:r>
    </w:p>
    <w:p w14:paraId="199A0EB9"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(40,000,000,000 x 20%)/ (50,000m2 x 12 months x 10 yrs) = 1333.33 (khoảng 1tr3/tháng) </w:t>
      </w:r>
    </w:p>
    <w:p w14:paraId="46339D22" w14:textId="77777777" w:rsidR="00692C69" w:rsidRDefault="0013194A">
      <w:pPr>
        <w:spacing w:after="0" w:line="360" w:lineRule="exact"/>
        <w:jc w:val="both"/>
        <w:rPr>
          <w:rFonts w:ascii="Times New Roman" w:hAnsi="Times New Roman" w:cs="Times New Roman"/>
          <w:i/>
          <w:iCs/>
          <w:sz w:val="28"/>
          <w:szCs w:val="28"/>
        </w:rPr>
      </w:pPr>
      <w:r>
        <w:rPr>
          <w:rFonts w:ascii="Times New Roman" w:hAnsi="Times New Roman" w:cs="Times New Roman"/>
          <w:i/>
          <w:iCs/>
          <w:sz w:val="28"/>
          <w:szCs w:val="28"/>
        </w:rPr>
        <w:tab/>
        <w:t>7.3. Trung Quốc</w:t>
      </w:r>
    </w:p>
    <w:p w14:paraId="451FF798"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Phí quản lý vận hành và phí bảo trì: </w:t>
      </w:r>
    </w:p>
    <w:p w14:paraId="766A5EAD"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Có 2 loại phí là phí quản lý (FM service fee) và phí bảo trì (special fund)</w:t>
      </w:r>
    </w:p>
    <w:p w14:paraId="69BF1898"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Phí bảo trì được thu 1 lần duy nhất đối với người mua nhà và được dùng cho mục đích sửa chữa lớn hoặc thay thế, xây dựng lại phần sở hữu chung của tòa nhà sau thời hạn bảo hành (việc quản lý và duy tu phần sử dụng chung của tòa nhà được tính vào chi phí quản lý)</w:t>
      </w:r>
    </w:p>
    <w:p w14:paraId="631F61E6"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Phí quản lý được thu hàng tháng. Trước đây, phí quản lý phải dựa trên mức giá quy định của Chính phủ khi thị trường dịch vụ chưa phát triển. Tuy nhiên sau những năm 90s, thị trường dịch vụ phát triển mạnh mẽ thì phí quản lý này được đưa ra dựa trên giá thị trường. Chủ sở hữu nhà ở có quyền lựa chọn công ty quản lý phù hợp theo nhu cầu và giá cả</w:t>
      </w:r>
    </w:p>
    <w:p w14:paraId="45FB96DC" w14:textId="77777777" w:rsidR="00692C69" w:rsidRDefault="0013194A">
      <w:pPr>
        <w:spacing w:after="0" w:line="360" w:lineRule="exact"/>
        <w:jc w:val="both"/>
        <w:rPr>
          <w:rFonts w:ascii="Times New Roman" w:hAnsi="Times New Roman" w:cs="Times New Roman"/>
          <w:sz w:val="28"/>
          <w:szCs w:val="28"/>
        </w:rPr>
      </w:pPr>
      <w:r>
        <w:rPr>
          <w:rFonts w:ascii="Times New Roman" w:hAnsi="Times New Roman" w:cs="Times New Roman"/>
          <w:sz w:val="28"/>
          <w:szCs w:val="28"/>
        </w:rPr>
        <w:tab/>
        <w:t>- Quản lý vận hành quỹ bảo trì: Quỹ bảo trì được kiểm soát bởi Bộ phận quản lý tài sản của Chính phủ, tuy nhiên sau khi thành lập được Ban Quản trị nhà chung cư thì Quỹ bảo trì này do Ban quản trì quản lý. Trước khi quỹ bảo trì được bàn giao cho cư dân, quy trình thực hiện việc thông báo và chấp thuận sử dụng quỹ bảo trì của Bộ phận quản lý tài sản Chính phủ được cho là rất phức tạp và mất nhiều thời gian</w:t>
      </w:r>
    </w:p>
    <w:p w14:paraId="5FD75BBF"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Sau khi quỹ bảo trì được bàn giao cho Ban quản trị thì quy trình sử dụng như sau: Công ty quản lý đề xuất kế hoạch sử dụng vốn =&gt; Ban quản trị tòa nhà đồng ý với kế hoạch =&gt; công ty quản lý thực hiện theo kế hoạch và báo cáo chi tiết các khoản chi =&gt; Ban quản trị thống nhất với đề xuất =&gt; Thông báo phía Ngân hàng chuyển tiền =&gt; Ngân hàng chuyển tiền cho công ty quản lý </w:t>
      </w:r>
    </w:p>
    <w:p w14:paraId="63E7A8D1"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Mặc dù Chính phủ không còn can thiệp vào Quỹ bảo trì của cư dân mà chỉ nhận báo cáo theo quy định, tuy nhiên Bộ phận quản lý tài sản của Chính phủ có quyền yêu cầu Ban Quản trị và Công ty quản lý giải trình về việc chi tiêu theo quy </w:t>
      </w:r>
      <w:r>
        <w:rPr>
          <w:rFonts w:ascii="Times New Roman" w:hAnsi="Times New Roman" w:cs="Times New Roman"/>
          <w:sz w:val="28"/>
          <w:szCs w:val="28"/>
        </w:rPr>
        <w:lastRenderedPageBreak/>
        <w:t>định của pháp luật, vì vậy Chính phủ không chỉ có vai trò là nhận báo cáo mà còn có vai trò giám sát việc quản lý, sử dụng Quỹ bảo trì</w:t>
      </w:r>
    </w:p>
    <w:p w14:paraId="4944527C" w14:textId="77777777" w:rsidR="00692C69" w:rsidRDefault="0013194A">
      <w:pPr>
        <w:spacing w:after="0" w:line="360" w:lineRule="exact"/>
        <w:jc w:val="both"/>
        <w:rPr>
          <w:rFonts w:ascii="Times New Roman" w:hAnsi="Times New Roman" w:cs="Times New Roman"/>
          <w:i/>
          <w:iCs/>
          <w:sz w:val="28"/>
          <w:szCs w:val="28"/>
        </w:rPr>
      </w:pPr>
      <w:r>
        <w:rPr>
          <w:rFonts w:ascii="Times New Roman" w:hAnsi="Times New Roman" w:cs="Times New Roman"/>
          <w:sz w:val="28"/>
          <w:szCs w:val="28"/>
        </w:rPr>
        <w:tab/>
      </w:r>
      <w:r>
        <w:rPr>
          <w:rFonts w:ascii="Times New Roman" w:hAnsi="Times New Roman" w:cs="Times New Roman"/>
          <w:i/>
          <w:iCs/>
          <w:sz w:val="28"/>
          <w:szCs w:val="28"/>
        </w:rPr>
        <w:t xml:space="preserve">7.4. Singapore </w:t>
      </w:r>
    </w:p>
    <w:p w14:paraId="5D1D42DA" w14:textId="77777777" w:rsidR="00692C69" w:rsidRDefault="0013194A">
      <w:pPr>
        <w:spacing w:after="0" w:line="360" w:lineRule="exact"/>
        <w:ind w:firstLine="720"/>
        <w:rPr>
          <w:rFonts w:ascii="Times New Roman" w:hAnsi="Times New Roman" w:cs="Times New Roman"/>
          <w:sz w:val="28"/>
          <w:szCs w:val="28"/>
        </w:rPr>
      </w:pPr>
      <w:r>
        <w:rPr>
          <w:rFonts w:ascii="Times New Roman" w:hAnsi="Times New Roman" w:cs="Times New Roman"/>
          <w:sz w:val="28"/>
          <w:szCs w:val="28"/>
        </w:rPr>
        <w:t>Ban đại diện cư dân được bầu bởi các chủ sở hữu nhà ở thông qua việc bỏ phiếu. Ban đại diện này có trách nhiệm kiểm soát công việc của Cơ quan Quản lý (MSCT)</w:t>
      </w:r>
    </w:p>
    <w:p w14:paraId="469A7CF0" w14:textId="77777777" w:rsidR="00692C69" w:rsidRDefault="0013194A">
      <w:pPr>
        <w:spacing w:after="0" w:line="360" w:lineRule="exact"/>
        <w:ind w:firstLine="720"/>
        <w:jc w:val="both"/>
        <w:rPr>
          <w:rFonts w:ascii="Times New Roman" w:eastAsia="Times New Roman" w:hAnsi="Times New Roman" w:cs="Times New Roman"/>
          <w:sz w:val="28"/>
          <w:szCs w:val="28"/>
        </w:rPr>
      </w:pPr>
      <w:r>
        <w:rPr>
          <w:rFonts w:ascii="Times New Roman" w:hAnsi="Times New Roman" w:cs="Times New Roman"/>
          <w:sz w:val="28"/>
          <w:szCs w:val="28"/>
        </w:rPr>
        <w:t xml:space="preserve">- Tối đa 14 người trong Ban đại diện sẽ được bầu bao gồm: </w:t>
      </w:r>
      <w:r>
        <w:rPr>
          <w:rFonts w:ascii="Times New Roman" w:eastAsia="Times New Roman" w:hAnsi="Times New Roman" w:cs="Times New Roman"/>
          <w:sz w:val="28"/>
          <w:szCs w:val="28"/>
        </w:rPr>
        <w:t>Chủ tịch, Thư ký, Thủ quỹ và thành viên Hội đồng.</w:t>
      </w:r>
    </w:p>
    <w:p w14:paraId="2FB7D190" w14:textId="77777777" w:rsidR="00692C69" w:rsidRDefault="00131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exact"/>
        <w:jc w:val="both"/>
        <w:rPr>
          <w:rFonts w:ascii="Times New Roman" w:hAnsi="Times New Roman" w:cs="Times New Roman"/>
          <w:sz w:val="28"/>
          <w:szCs w:val="28"/>
        </w:rPr>
      </w:pPr>
      <w:r>
        <w:rPr>
          <w:rFonts w:ascii="Times New Roman" w:hAnsi="Times New Roman" w:cs="Times New Roman"/>
          <w:sz w:val="28"/>
          <w:szCs w:val="28"/>
        </w:rPr>
        <w:tab/>
        <w:t xml:space="preserve">- Cơ quan Quản lý (Management Corporation Strata Title – MCST - thường được gọi là Ủy ban quản lý được pháp luật trao quyền quản lý và giám sát tài sản chung, cơ quan này là một pháp nhân có thể kiện hoặc bị kiện) sẽ tự động được thành lập khi chủ đầu tư tòa nhà nộp kế hoạch sửa chữa cho “Ủy viên các tòa nhà” (sau thời điểm đổ mái). Mỗi cơ quan quản lý này sẽ có mã số riêng để phân biệt. </w:t>
      </w:r>
    </w:p>
    <w:p w14:paraId="39EF5B01"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Tất cả các loại phí đều được nộp định kỳ hàng tháng: </w:t>
      </w:r>
    </w:p>
    <w:p w14:paraId="2E82F91A"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Phí Quản lý (nộp vào Quỹ Quản lý)</w:t>
      </w:r>
    </w:p>
    <w:p w14:paraId="719B15B6"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Phí Bảo trì dài hạn (nộp vào Quỹ Bảo trì)</w:t>
      </w:r>
    </w:p>
    <w:p w14:paraId="659CDAF4" w14:textId="77777777" w:rsidR="00692C69" w:rsidRDefault="0013194A">
      <w:pPr>
        <w:spacing w:after="0" w:line="360" w:lineRule="exact"/>
        <w:ind w:firstLine="720"/>
        <w:jc w:val="both"/>
        <w:rPr>
          <w:rFonts w:ascii="Times New Roman" w:hAnsi="Times New Roman" w:cs="Times New Roman"/>
          <w:sz w:val="28"/>
          <w:szCs w:val="28"/>
        </w:rPr>
      </w:pPr>
      <w:r>
        <w:rPr>
          <w:rFonts w:ascii="Times New Roman" w:hAnsi="Times New Roman" w:cs="Times New Roman"/>
          <w:sz w:val="28"/>
          <w:szCs w:val="28"/>
        </w:rPr>
        <w:t xml:space="preserve">+ Trong 1 tòa nhà chung cư, phần sở hữu chung sẽ được chia theo tỷ lệ tương ứng đối với mỗi căn hộ. Căn hộ diện tích càng lớn thì giá trị đóng góp càng cao: </w:t>
      </w:r>
    </w:p>
    <w:tbl>
      <w:tblPr>
        <w:tblStyle w:val="TableGrid"/>
        <w:tblW w:w="0" w:type="auto"/>
        <w:tblInd w:w="988" w:type="dxa"/>
        <w:tblLook w:val="04A0" w:firstRow="1" w:lastRow="0" w:firstColumn="1" w:lastColumn="0" w:noHBand="0" w:noVBand="1"/>
      </w:tblPr>
      <w:tblGrid>
        <w:gridCol w:w="3685"/>
        <w:gridCol w:w="3686"/>
      </w:tblGrid>
      <w:tr w:rsidR="00692C69" w14:paraId="23E8F287" w14:textId="77777777">
        <w:tc>
          <w:tcPr>
            <w:tcW w:w="3685" w:type="dxa"/>
          </w:tcPr>
          <w:p w14:paraId="4D88BBF3"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Diện tích căn hộ (m2)</w:t>
            </w:r>
          </w:p>
        </w:tc>
        <w:tc>
          <w:tcPr>
            <w:tcW w:w="3686" w:type="dxa"/>
          </w:tcPr>
          <w:p w14:paraId="119F360B"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Giá trị đóng góp chia theo phần sở hữu chung (share value)</w:t>
            </w:r>
          </w:p>
        </w:tc>
      </w:tr>
      <w:tr w:rsidR="00692C69" w14:paraId="561EEB94" w14:textId="77777777">
        <w:tc>
          <w:tcPr>
            <w:tcW w:w="3685" w:type="dxa"/>
          </w:tcPr>
          <w:p w14:paraId="3AACF72A"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50</w:t>
            </w:r>
          </w:p>
        </w:tc>
        <w:tc>
          <w:tcPr>
            <w:tcW w:w="3686" w:type="dxa"/>
          </w:tcPr>
          <w:p w14:paraId="1892E319"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5</w:t>
            </w:r>
          </w:p>
        </w:tc>
      </w:tr>
      <w:tr w:rsidR="00692C69" w14:paraId="3928F8DE" w14:textId="77777777">
        <w:tc>
          <w:tcPr>
            <w:tcW w:w="3685" w:type="dxa"/>
          </w:tcPr>
          <w:p w14:paraId="7B408120"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50 </w:t>
            </w:r>
            <w:proofErr w:type="gramStart"/>
            <w:r>
              <w:rPr>
                <w:rFonts w:ascii="Times New Roman" w:eastAsia="Times New Roman" w:hAnsi="Times New Roman" w:cs="Times New Roman"/>
                <w:sz w:val="24"/>
                <w:szCs w:val="24"/>
              </w:rPr>
              <w:t>–  100</w:t>
            </w:r>
            <w:proofErr w:type="gramEnd"/>
          </w:p>
        </w:tc>
        <w:tc>
          <w:tcPr>
            <w:tcW w:w="3686" w:type="dxa"/>
          </w:tcPr>
          <w:p w14:paraId="74A6AC32"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6</w:t>
            </w:r>
          </w:p>
        </w:tc>
      </w:tr>
      <w:tr w:rsidR="00692C69" w14:paraId="675DB56B" w14:textId="77777777">
        <w:tc>
          <w:tcPr>
            <w:tcW w:w="3685" w:type="dxa"/>
          </w:tcPr>
          <w:p w14:paraId="73E03C7B"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101</w:t>
            </w:r>
            <w:proofErr w:type="gramStart"/>
            <w:r>
              <w:rPr>
                <w:rFonts w:ascii="Times New Roman" w:eastAsia="Times New Roman" w:hAnsi="Times New Roman" w:cs="Times New Roman"/>
                <w:sz w:val="24"/>
                <w:szCs w:val="24"/>
              </w:rPr>
              <w:t>–  150</w:t>
            </w:r>
            <w:proofErr w:type="gramEnd"/>
          </w:p>
        </w:tc>
        <w:tc>
          <w:tcPr>
            <w:tcW w:w="3686" w:type="dxa"/>
          </w:tcPr>
          <w:p w14:paraId="7C7D20BC"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7</w:t>
            </w:r>
          </w:p>
        </w:tc>
      </w:tr>
      <w:tr w:rsidR="00692C69" w14:paraId="26BC258A" w14:textId="77777777">
        <w:tc>
          <w:tcPr>
            <w:tcW w:w="3685" w:type="dxa"/>
          </w:tcPr>
          <w:p w14:paraId="1105C415"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151– 200</w:t>
            </w:r>
          </w:p>
        </w:tc>
        <w:tc>
          <w:tcPr>
            <w:tcW w:w="3686" w:type="dxa"/>
          </w:tcPr>
          <w:p w14:paraId="254016EC"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8</w:t>
            </w:r>
          </w:p>
        </w:tc>
      </w:tr>
      <w:tr w:rsidR="00692C69" w14:paraId="6C131414" w14:textId="77777777">
        <w:tc>
          <w:tcPr>
            <w:tcW w:w="3685" w:type="dxa"/>
          </w:tcPr>
          <w:p w14:paraId="1AF8F5C1"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201 – 250</w:t>
            </w:r>
          </w:p>
        </w:tc>
        <w:tc>
          <w:tcPr>
            <w:tcW w:w="3686" w:type="dxa"/>
          </w:tcPr>
          <w:p w14:paraId="5BF89FB0"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9</w:t>
            </w:r>
          </w:p>
        </w:tc>
      </w:tr>
      <w:tr w:rsidR="00692C69" w14:paraId="75C4F26A" w14:textId="77777777">
        <w:tc>
          <w:tcPr>
            <w:tcW w:w="3685" w:type="dxa"/>
          </w:tcPr>
          <w:p w14:paraId="32F627BF"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251</w:t>
            </w:r>
            <w:proofErr w:type="gramStart"/>
            <w:r>
              <w:rPr>
                <w:rFonts w:ascii="Times New Roman" w:eastAsia="Times New Roman" w:hAnsi="Times New Roman" w:cs="Times New Roman"/>
                <w:sz w:val="24"/>
                <w:szCs w:val="24"/>
              </w:rPr>
              <w:t>–  300</w:t>
            </w:r>
            <w:proofErr w:type="gramEnd"/>
            <w:r>
              <w:rPr>
                <w:rFonts w:ascii="Times New Roman" w:eastAsia="Times New Roman" w:hAnsi="Times New Roman" w:cs="Times New Roman"/>
                <w:sz w:val="24"/>
                <w:szCs w:val="24"/>
              </w:rPr>
              <w:t xml:space="preserve"> </w:t>
            </w:r>
          </w:p>
        </w:tc>
        <w:tc>
          <w:tcPr>
            <w:tcW w:w="3686" w:type="dxa"/>
          </w:tcPr>
          <w:p w14:paraId="285F9431" w14:textId="77777777" w:rsidR="00692C69" w:rsidRDefault="0013194A">
            <w:pPr>
              <w:pStyle w:val="ListParagraph"/>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exact"/>
              <w:ind w:left="0"/>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p>
        </w:tc>
      </w:tr>
    </w:tbl>
    <w:p w14:paraId="1F94CBD0" w14:textId="77777777" w:rsidR="00692C69" w:rsidRDefault="00692C69">
      <w:pPr>
        <w:spacing w:after="0" w:line="360" w:lineRule="exact"/>
        <w:ind w:firstLine="720"/>
        <w:jc w:val="both"/>
        <w:rPr>
          <w:rFonts w:ascii="Times New Roman" w:hAnsi="Times New Roman" w:cs="Times New Roman"/>
          <w:sz w:val="28"/>
          <w:szCs w:val="28"/>
        </w:rPr>
      </w:pPr>
    </w:p>
    <w:p w14:paraId="2A5BB56B" w14:textId="77777777" w:rsidR="00692C69" w:rsidRDefault="00131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exact"/>
        <w:jc w:val="both"/>
        <w:rPr>
          <w:rFonts w:ascii="Times New Roman" w:eastAsia="Times New Roman" w:hAnsi="Times New Roman" w:cs="Times New Roman"/>
          <w:sz w:val="28"/>
          <w:szCs w:val="28"/>
        </w:rPr>
      </w:pPr>
      <w:r>
        <w:rPr>
          <w:rFonts w:ascii="Times New Roman" w:hAnsi="Times New Roman" w:cs="Times New Roman"/>
          <w:sz w:val="28"/>
          <w:szCs w:val="28"/>
        </w:rPr>
        <w:tab/>
      </w:r>
      <w:r>
        <w:rPr>
          <w:rFonts w:ascii="Times New Roman" w:eastAsia="Times New Roman" w:hAnsi="Times New Roman" w:cs="Times New Roman"/>
          <w:sz w:val="28"/>
          <w:szCs w:val="28"/>
        </w:rPr>
        <w:t>- Chủ đầu tư trong khoảng thời gian 1 năm kể từ ngày bàn giao nhà (Hội nghị nhà chung cư đầu tiên theo luật được tổ chức sau 1 năm</w:t>
      </w:r>
      <w:proofErr w:type="gramStart"/>
      <w:r>
        <w:rPr>
          <w:rFonts w:ascii="Times New Roman" w:eastAsia="Times New Roman" w:hAnsi="Times New Roman" w:cs="Times New Roman"/>
          <w:sz w:val="28"/>
          <w:szCs w:val="28"/>
        </w:rPr>
        <w:t>),  có</w:t>
      </w:r>
      <w:proofErr w:type="gramEnd"/>
      <w:r>
        <w:rPr>
          <w:rFonts w:ascii="Times New Roman" w:eastAsia="Times New Roman" w:hAnsi="Times New Roman" w:cs="Times New Roman"/>
          <w:sz w:val="28"/>
          <w:szCs w:val="28"/>
        </w:rPr>
        <w:t xml:space="preserve"> trách nhiệm mở tài khoản dưới tên Cơ quan Quản lý MCST (với mã số riêng biệt cho từng tòa nhà) và gửi toàn bộ số tiền phí bảo trì vào tài khoản này. </w:t>
      </w:r>
    </w:p>
    <w:p w14:paraId="1B4B8EF5" w14:textId="77777777" w:rsidR="00692C69" w:rsidRDefault="001319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exact"/>
        <w:jc w:val="both"/>
        <w:rPr>
          <w:rFonts w:ascii="Times New Roman" w:eastAsia="Times New Roman" w:hAnsi="Times New Roman" w:cs="Times New Roman"/>
          <w:sz w:val="28"/>
          <w:szCs w:val="28"/>
          <w:lang w:val="vi-VN"/>
        </w:rPr>
      </w:pPr>
      <w:r>
        <w:rPr>
          <w:rFonts w:ascii="Times New Roman" w:hAnsi="Times New Roman" w:cs="Times New Roman"/>
          <w:sz w:val="28"/>
          <w:szCs w:val="28"/>
        </w:rPr>
        <w:tab/>
        <w:t xml:space="preserve">- Mỗi một căn hộ đã bán chủ đầu tư có trách nhiệm trả vào Quỹ bảo trì tòa nhà số tiền phí bảo trì mà người mua phải trả cho đến khi khoản phí đó đến hạn phải trả. Căn hộ chưa bán, CĐT phải trả trước khoản phí bảo trì này vào Quỹ bảo trì. </w:t>
      </w:r>
    </w:p>
    <w:p w14:paraId="3CB8129D" w14:textId="77777777" w:rsidR="00692C69" w:rsidRDefault="00692C69">
      <w:pPr>
        <w:spacing w:after="0" w:line="360" w:lineRule="exact"/>
        <w:jc w:val="both"/>
        <w:rPr>
          <w:rFonts w:ascii="Times New Roman" w:hAnsi="Times New Roman" w:cs="Times New Roman"/>
          <w:sz w:val="28"/>
          <w:szCs w:val="28"/>
        </w:rPr>
      </w:pPr>
    </w:p>
    <w:sectPr w:rsidR="00692C69">
      <w:footerReference w:type="default" r:id="rId13"/>
      <w:pgSz w:w="11907" w:h="16840" w:code="9"/>
      <w:pgMar w:top="1134" w:right="1134" w:bottom="1134" w:left="1701" w:header="720" w:footer="34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67BD9AA" w14:textId="77777777" w:rsidR="007824C6" w:rsidRDefault="007824C6">
      <w:pPr>
        <w:spacing w:after="0" w:line="240" w:lineRule="auto"/>
      </w:pPr>
      <w:r>
        <w:separator/>
      </w:r>
    </w:p>
  </w:endnote>
  <w:endnote w:type="continuationSeparator" w:id="0">
    <w:p w14:paraId="53F43CDA" w14:textId="77777777" w:rsidR="007824C6" w:rsidRDefault="007824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Times New Roman" w:hAnsi="Times New Roman" w:cs="Times New Roman"/>
        <w:sz w:val="24"/>
        <w:szCs w:val="24"/>
      </w:rPr>
      <w:id w:val="179625861"/>
      <w:docPartObj>
        <w:docPartGallery w:val="Page Numbers (Bottom of Page)"/>
        <w:docPartUnique/>
      </w:docPartObj>
    </w:sdtPr>
    <w:sdtEndPr>
      <w:rPr>
        <w:noProof/>
      </w:rPr>
    </w:sdtEndPr>
    <w:sdtContent>
      <w:p w14:paraId="5F1268A9" w14:textId="77777777" w:rsidR="00692C69" w:rsidRDefault="0013194A">
        <w:pPr>
          <w:pStyle w:val="Footer"/>
          <w:jc w:val="center"/>
          <w:rPr>
            <w:rFonts w:ascii="Times New Roman" w:hAnsi="Times New Roman" w:cs="Times New Roman"/>
            <w:sz w:val="24"/>
            <w:szCs w:val="24"/>
          </w:rPr>
        </w:pPr>
        <w:r>
          <w:rPr>
            <w:rFonts w:ascii="Times New Roman" w:hAnsi="Times New Roman" w:cs="Times New Roman"/>
            <w:sz w:val="24"/>
            <w:szCs w:val="24"/>
          </w:rPr>
          <w:fldChar w:fldCharType="begin"/>
        </w:r>
        <w:r>
          <w:rPr>
            <w:rFonts w:ascii="Times New Roman" w:hAnsi="Times New Roman" w:cs="Times New Roman"/>
            <w:sz w:val="24"/>
            <w:szCs w:val="24"/>
          </w:rPr>
          <w:instrText xml:space="preserve"> PAGE   \* MERGEFORMAT </w:instrText>
        </w:r>
        <w:r>
          <w:rPr>
            <w:rFonts w:ascii="Times New Roman" w:hAnsi="Times New Roman" w:cs="Times New Roman"/>
            <w:sz w:val="24"/>
            <w:szCs w:val="24"/>
          </w:rPr>
          <w:fldChar w:fldCharType="separate"/>
        </w:r>
        <w:r w:rsidR="00120B62">
          <w:rPr>
            <w:rFonts w:ascii="Times New Roman" w:hAnsi="Times New Roman" w:cs="Times New Roman"/>
            <w:noProof/>
            <w:sz w:val="24"/>
            <w:szCs w:val="24"/>
          </w:rPr>
          <w:t>18</w:t>
        </w:r>
        <w:r>
          <w:rPr>
            <w:rFonts w:ascii="Times New Roman" w:hAnsi="Times New Roman" w:cs="Times New Roman"/>
            <w:noProof/>
            <w:sz w:val="24"/>
            <w:szCs w:val="24"/>
          </w:rPr>
          <w:fldChar w:fldCharType="end"/>
        </w:r>
      </w:p>
    </w:sdtContent>
  </w:sdt>
  <w:p w14:paraId="6045F9F4" w14:textId="77777777" w:rsidR="00692C69" w:rsidRDefault="00692C69">
    <w:pPr>
      <w:pStyle w:val="Footer"/>
      <w:rPr>
        <w:rFonts w:ascii="Times New Roman" w:hAnsi="Times New Roman" w:cs="Times New Roman"/>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977DE22" w14:textId="77777777" w:rsidR="007824C6" w:rsidRDefault="007824C6">
      <w:pPr>
        <w:spacing w:after="0" w:line="240" w:lineRule="auto"/>
      </w:pPr>
      <w:r>
        <w:separator/>
      </w:r>
    </w:p>
  </w:footnote>
  <w:footnote w:type="continuationSeparator" w:id="0">
    <w:p w14:paraId="27B6E1EF" w14:textId="77777777" w:rsidR="007824C6" w:rsidRDefault="007824C6">
      <w:pPr>
        <w:spacing w:after="0" w:line="240" w:lineRule="auto"/>
      </w:pPr>
      <w:r>
        <w:continuationSeparator/>
      </w:r>
    </w:p>
  </w:footnote>
  <w:footnote w:id="1">
    <w:p w14:paraId="1F5DA28C" w14:textId="77777777" w:rsidR="00692C69" w:rsidRDefault="0013194A">
      <w:pPr>
        <w:pStyle w:val="FootnoteText"/>
      </w:pPr>
      <w:r>
        <w:rPr>
          <w:rStyle w:val="FootnoteReference"/>
        </w:rPr>
        <w:footnoteRef/>
      </w:r>
      <w:r>
        <w:t xml:space="preserve"> </w:t>
      </w:r>
      <w:r>
        <w:rPr>
          <w:rFonts w:ascii="Times New Roman" w:hAnsi="Times New Roman" w:cs="Times New Roman"/>
          <w:color w:val="202124"/>
          <w:shd w:val="clear" w:color="auto" w:fill="FFFFFF"/>
        </w:rPr>
        <w:t>tương tự đăng ký giấy chứng nhận quyền sử dụng đất tại Việt Nam</w:t>
      </w:r>
    </w:p>
  </w:footnote>
  <w:footnote w:id="2">
    <w:p w14:paraId="6631A8ED" w14:textId="77777777" w:rsidR="00692C69" w:rsidRDefault="0013194A">
      <w:pPr>
        <w:pStyle w:val="FootnoteText"/>
        <w:rPr>
          <w:rFonts w:ascii="Times New Roman" w:hAnsi="Times New Roman" w:cs="Times New Roman"/>
        </w:rPr>
      </w:pPr>
      <w:r>
        <w:rPr>
          <w:rStyle w:val="FootnoteReference"/>
          <w:rFonts w:ascii="Times New Roman" w:hAnsi="Times New Roman" w:cs="Times New Roman"/>
        </w:rPr>
        <w:footnoteRef/>
      </w:r>
      <w:r>
        <w:rPr>
          <w:rFonts w:ascii="Times New Roman" w:hAnsi="Times New Roman" w:cs="Times New Roman"/>
        </w:rPr>
        <w:t xml:space="preserve"> </w:t>
      </w:r>
      <w:r>
        <w:rPr>
          <w:rFonts w:ascii="Times New Roman" w:hAnsi="Times New Roman" w:cs="Times New Roman"/>
          <w:bCs/>
          <w:color w:val="202124"/>
          <w:shd w:val="clear" w:color="auto" w:fill="FFFFFF"/>
        </w:rPr>
        <w:t>Chứng khoán</w:t>
      </w:r>
      <w:r>
        <w:rPr>
          <w:rFonts w:ascii="Times New Roman" w:hAnsi="Times New Roman" w:cs="Times New Roman"/>
          <w:color w:val="202124"/>
          <w:shd w:val="clear" w:color="auto" w:fill="FFFFFF"/>
        </w:rPr>
        <w:t> vô </w:t>
      </w:r>
      <w:r>
        <w:rPr>
          <w:rFonts w:ascii="Times New Roman" w:hAnsi="Times New Roman" w:cs="Times New Roman"/>
          <w:bCs/>
          <w:color w:val="202124"/>
          <w:shd w:val="clear" w:color="auto" w:fill="FFFFFF"/>
        </w:rPr>
        <w:t>danh</w:t>
      </w:r>
      <w:r>
        <w:rPr>
          <w:rFonts w:ascii="Times New Roman" w:hAnsi="Times New Roman" w:cs="Times New Roman"/>
          <w:color w:val="202124"/>
          <w:shd w:val="clear" w:color="auto" w:fill="FFFFFF"/>
        </w:rPr>
        <w:t> (bearer security) là loại </w:t>
      </w:r>
      <w:r>
        <w:rPr>
          <w:rFonts w:ascii="Times New Roman" w:hAnsi="Times New Roman" w:cs="Times New Roman"/>
          <w:bCs/>
          <w:color w:val="202124"/>
          <w:shd w:val="clear" w:color="auto" w:fill="FFFFFF"/>
        </w:rPr>
        <w:t>chứng khoán không</w:t>
      </w:r>
      <w:r>
        <w:rPr>
          <w:rFonts w:ascii="Times New Roman" w:hAnsi="Times New Roman" w:cs="Times New Roman"/>
          <w:color w:val="202124"/>
          <w:shd w:val="clear" w:color="auto" w:fill="FFFFFF"/>
        </w:rPr>
        <w:t> được đăng ký trên sổ sách của người phát hành, thay vào đó mọi quyền lợi của </w:t>
      </w:r>
      <w:r>
        <w:rPr>
          <w:rFonts w:ascii="Times New Roman" w:hAnsi="Times New Roman" w:cs="Times New Roman"/>
          <w:bCs/>
          <w:color w:val="202124"/>
          <w:shd w:val="clear" w:color="auto" w:fill="FFFFFF"/>
        </w:rPr>
        <w:t>chứng khoán</w:t>
      </w:r>
      <w:r>
        <w:rPr>
          <w:rFonts w:ascii="Times New Roman" w:hAnsi="Times New Roman" w:cs="Times New Roman"/>
          <w:color w:val="202124"/>
          <w:shd w:val="clear" w:color="auto" w:fill="FFFFFF"/>
        </w:rPr>
        <w:t> vô </w:t>
      </w:r>
      <w:r>
        <w:rPr>
          <w:rFonts w:ascii="Times New Roman" w:hAnsi="Times New Roman" w:cs="Times New Roman"/>
          <w:bCs/>
          <w:color w:val="202124"/>
          <w:shd w:val="clear" w:color="auto" w:fill="FFFFFF"/>
        </w:rPr>
        <w:t>danh</w:t>
      </w:r>
      <w:r>
        <w:rPr>
          <w:rFonts w:ascii="Times New Roman" w:hAnsi="Times New Roman" w:cs="Times New Roman"/>
          <w:color w:val="202124"/>
          <w:shd w:val="clear" w:color="auto" w:fill="FFFFFF"/>
        </w:rPr>
        <w:t> sẽ được thanh toán cho người cầm giữ, sở hữu nó. ... </w:t>
      </w:r>
    </w:p>
  </w:footnote>
  <w:footnote w:id="3">
    <w:p w14:paraId="1A2A84A9" w14:textId="77777777" w:rsidR="00692C69" w:rsidRDefault="0013194A">
      <w:pPr>
        <w:pStyle w:val="FootnoteText"/>
        <w:rPr>
          <w:rFonts w:ascii="Times New Roman" w:hAnsi="Times New Roman"/>
        </w:rPr>
      </w:pPr>
      <w:r>
        <w:rPr>
          <w:rStyle w:val="FootnoteReference"/>
          <w:rFonts w:ascii="Times New Roman" w:hAnsi="Times New Roman"/>
        </w:rPr>
        <w:footnoteRef/>
      </w:r>
      <w:r>
        <w:rPr>
          <w:rFonts w:ascii="Times New Roman" w:hAnsi="Times New Roman"/>
          <w:sz w:val="18"/>
          <w:szCs w:val="18"/>
        </w:rPr>
        <w:t>Nh</w:t>
      </w:r>
      <w:r>
        <w:rPr>
          <w:rFonts w:ascii="Times New Roman" w:hAnsi="Times New Roman"/>
          <w:sz w:val="18"/>
          <w:szCs w:val="18"/>
          <w:lang w:val="vi-VN"/>
        </w:rPr>
        <w:t xml:space="preserve">ững </w:t>
      </w:r>
      <w:r>
        <w:rPr>
          <w:rFonts w:ascii="Times New Roman" w:hAnsi="Times New Roman"/>
          <w:sz w:val="18"/>
          <w:szCs w:val="18"/>
        </w:rPr>
        <w:t xml:space="preserve">công ty chắn thuế được tổ chức dưới dạng các công ty TNHH Hợp doanh BĐS (RELP) hay Công ty TNHH Chuyên nghiệp (MLP) mà thông qua những công ty này, những khoản lỗ trong hoạt động điều hành và khấu hao giá trị BĐS có thể được dùng để bù đắp cho thu nhập bị đánh thuế của những đối tác từ những nguồn khác, vì vậy bảo vệ và hỗ trợ các nhà đầu tư khỏi thuế. </w:t>
      </w:r>
    </w:p>
  </w:footnote>
  <w:footnote w:id="4">
    <w:p w14:paraId="6C3004D5" w14:textId="77777777" w:rsidR="00692C69" w:rsidRDefault="0013194A">
      <w:pPr>
        <w:pStyle w:val="FootnoteText"/>
        <w:rPr>
          <w:rFonts w:ascii="Times New Roman" w:hAnsi="Times New Roman"/>
        </w:rPr>
      </w:pPr>
      <w:r>
        <w:rPr>
          <w:rStyle w:val="FootnoteReference"/>
        </w:rPr>
        <w:footnoteRef/>
      </w:r>
      <w:r>
        <w:rPr>
          <w:rFonts w:ascii="Times New Roman" w:hAnsi="Times New Roman"/>
          <w:sz w:val="18"/>
          <w:szCs w:val="18"/>
        </w:rPr>
        <w:t xml:space="preserve">Theo Luật, đầu tư bằng quỹ hưu trí không còn được xem là đầu tư cá nhân đơn lẻ. Điều khoản thông qua cho phép nhiều chủ sở hữu các khoản quỹ hưu trí được xem là các nhà đầu tư độc lập và REIT, vì vậy vượt qua giới hạn 5/50 được áp dụng đối với đầu tư vào REIT trước đây. Quy tắc 5/50 yêu cầu cơ cấu sở hữu được phân phối mà không cho phép hơn 50% tổng cổ phần nằm trong tay 5 nhà đầu tư lớn.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665034"/>
    <w:multiLevelType w:val="hybridMultilevel"/>
    <w:tmpl w:val="B6D6D1F2"/>
    <w:lvl w:ilvl="0" w:tplc="88A8099A">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43F262D4"/>
    <w:multiLevelType w:val="hybridMultilevel"/>
    <w:tmpl w:val="2F2E3DD4"/>
    <w:lvl w:ilvl="0" w:tplc="7ADA9CC2">
      <w:start w:val="7"/>
      <w:numFmt w:val="upperRoman"/>
      <w:lvlText w:val="%1."/>
      <w:lvlJc w:val="left"/>
      <w:pPr>
        <w:ind w:left="1440" w:hanging="720"/>
      </w:pPr>
      <w:rPr>
        <w:rFonts w:eastAsia="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7A42E4E"/>
    <w:multiLevelType w:val="multilevel"/>
    <w:tmpl w:val="511E72D2"/>
    <w:lvl w:ilvl="0">
      <w:start w:val="3"/>
      <w:numFmt w:val="decimal"/>
      <w:lvlText w:val="%1."/>
      <w:lvlJc w:val="left"/>
      <w:pPr>
        <w:ind w:left="432" w:hanging="432"/>
      </w:pPr>
      <w:rPr>
        <w:rFonts w:eastAsia="Times New Roman" w:hint="default"/>
        <w:color w:val="000000"/>
      </w:rPr>
    </w:lvl>
    <w:lvl w:ilvl="1">
      <w:start w:val="3"/>
      <w:numFmt w:val="decimal"/>
      <w:lvlText w:val="%1.%2."/>
      <w:lvlJc w:val="left"/>
      <w:pPr>
        <w:ind w:left="1440" w:hanging="720"/>
      </w:pPr>
      <w:rPr>
        <w:rFonts w:eastAsia="Times New Roman" w:hint="default"/>
        <w:color w:val="000000"/>
      </w:rPr>
    </w:lvl>
    <w:lvl w:ilvl="2">
      <w:start w:val="1"/>
      <w:numFmt w:val="decimal"/>
      <w:lvlText w:val="%1.%2.%3."/>
      <w:lvlJc w:val="left"/>
      <w:pPr>
        <w:ind w:left="2160" w:hanging="720"/>
      </w:pPr>
      <w:rPr>
        <w:rFonts w:eastAsia="Times New Roman" w:hint="default"/>
        <w:color w:val="000000"/>
      </w:rPr>
    </w:lvl>
    <w:lvl w:ilvl="3">
      <w:start w:val="1"/>
      <w:numFmt w:val="decimal"/>
      <w:lvlText w:val="%1.%2.%3.%4."/>
      <w:lvlJc w:val="left"/>
      <w:pPr>
        <w:ind w:left="3240" w:hanging="1080"/>
      </w:pPr>
      <w:rPr>
        <w:rFonts w:eastAsia="Times New Roman" w:hint="default"/>
        <w:color w:val="000000"/>
      </w:rPr>
    </w:lvl>
    <w:lvl w:ilvl="4">
      <w:start w:val="1"/>
      <w:numFmt w:val="decimal"/>
      <w:lvlText w:val="%1.%2.%3.%4.%5."/>
      <w:lvlJc w:val="left"/>
      <w:pPr>
        <w:ind w:left="3960" w:hanging="1080"/>
      </w:pPr>
      <w:rPr>
        <w:rFonts w:eastAsia="Times New Roman" w:hint="default"/>
        <w:color w:val="000000"/>
      </w:rPr>
    </w:lvl>
    <w:lvl w:ilvl="5">
      <w:start w:val="1"/>
      <w:numFmt w:val="decimal"/>
      <w:lvlText w:val="%1.%2.%3.%4.%5.%6."/>
      <w:lvlJc w:val="left"/>
      <w:pPr>
        <w:ind w:left="5040" w:hanging="1440"/>
      </w:pPr>
      <w:rPr>
        <w:rFonts w:eastAsia="Times New Roman" w:hint="default"/>
        <w:color w:val="000000"/>
      </w:rPr>
    </w:lvl>
    <w:lvl w:ilvl="6">
      <w:start w:val="1"/>
      <w:numFmt w:val="decimal"/>
      <w:lvlText w:val="%1.%2.%3.%4.%5.%6.%7."/>
      <w:lvlJc w:val="left"/>
      <w:pPr>
        <w:ind w:left="6120" w:hanging="1800"/>
      </w:pPr>
      <w:rPr>
        <w:rFonts w:eastAsia="Times New Roman" w:hint="default"/>
        <w:color w:val="000000"/>
      </w:rPr>
    </w:lvl>
    <w:lvl w:ilvl="7">
      <w:start w:val="1"/>
      <w:numFmt w:val="decimal"/>
      <w:lvlText w:val="%1.%2.%3.%4.%5.%6.%7.%8."/>
      <w:lvlJc w:val="left"/>
      <w:pPr>
        <w:ind w:left="6840" w:hanging="1800"/>
      </w:pPr>
      <w:rPr>
        <w:rFonts w:eastAsia="Times New Roman" w:hint="default"/>
        <w:color w:val="000000"/>
      </w:rPr>
    </w:lvl>
    <w:lvl w:ilvl="8">
      <w:start w:val="1"/>
      <w:numFmt w:val="decimal"/>
      <w:lvlText w:val="%1.%2.%3.%4.%5.%6.%7.%8.%9."/>
      <w:lvlJc w:val="left"/>
      <w:pPr>
        <w:ind w:left="7920" w:hanging="2160"/>
      </w:pPr>
      <w:rPr>
        <w:rFonts w:eastAsia="Times New Roman" w:hint="default"/>
        <w:color w:val="000000"/>
      </w:rPr>
    </w:lvl>
  </w:abstractNum>
  <w:abstractNum w:abstractNumId="3" w15:restartNumberingAfterBreak="0">
    <w:nsid w:val="53911C80"/>
    <w:multiLevelType w:val="multilevel"/>
    <w:tmpl w:val="61E026B8"/>
    <w:lvl w:ilvl="0">
      <w:start w:val="1"/>
      <w:numFmt w:val="decimal"/>
      <w:lvlText w:val="%1."/>
      <w:lvlJc w:val="left"/>
      <w:pPr>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 w15:restartNumberingAfterBreak="0">
    <w:nsid w:val="60916746"/>
    <w:multiLevelType w:val="hybridMultilevel"/>
    <w:tmpl w:val="0BAAB25C"/>
    <w:lvl w:ilvl="0" w:tplc="EE70C55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0AD133C"/>
    <w:multiLevelType w:val="hybridMultilevel"/>
    <w:tmpl w:val="33CA150C"/>
    <w:lvl w:ilvl="0" w:tplc="02360AF2">
      <w:start w:val="4"/>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C69"/>
    <w:rsid w:val="00064356"/>
    <w:rsid w:val="000913FB"/>
    <w:rsid w:val="00120B62"/>
    <w:rsid w:val="0013194A"/>
    <w:rsid w:val="00232CAD"/>
    <w:rsid w:val="00236366"/>
    <w:rsid w:val="002D4457"/>
    <w:rsid w:val="003305DD"/>
    <w:rsid w:val="003F34B2"/>
    <w:rsid w:val="00692C69"/>
    <w:rsid w:val="00704BAE"/>
    <w:rsid w:val="007604B6"/>
    <w:rsid w:val="007824C6"/>
    <w:rsid w:val="008044CD"/>
    <w:rsid w:val="009F2895"/>
    <w:rsid w:val="00C12597"/>
    <w:rsid w:val="00C475E4"/>
    <w:rsid w:val="00C948DB"/>
    <w:rsid w:val="00CA3E6D"/>
    <w:rsid w:val="00D85525"/>
    <w:rsid w:val="00F657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55852B"/>
  <w15:chartTrackingRefBased/>
  <w15:docId w15:val="{1CD0F728-2374-4682-8302-A90333715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pPr>
      <w:ind w:left="720"/>
      <w:contextualSpacing/>
    </w:pPr>
  </w:style>
  <w:style w:type="paragraph" w:styleId="Header">
    <w:name w:val="header"/>
    <w:basedOn w:val="Normal"/>
    <w:link w:val="HeaderChar"/>
    <w:uiPriority w:val="99"/>
    <w:unhideWhenUsed/>
    <w:pPr>
      <w:tabs>
        <w:tab w:val="center" w:pos="4680"/>
        <w:tab w:val="right" w:pos="9360"/>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line="240" w:lineRule="auto"/>
    </w:pPr>
  </w:style>
  <w:style w:type="character" w:customStyle="1" w:styleId="FooterChar">
    <w:name w:val="Footer Char"/>
    <w:basedOn w:val="DefaultParagraphFont"/>
    <w:link w:val="Footer"/>
    <w:uiPriority w:val="99"/>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pPr>
      <w:autoSpaceDE w:val="0"/>
      <w:autoSpaceDN w:val="0"/>
      <w:adjustRightInd w:val="0"/>
      <w:spacing w:after="0" w:line="240" w:lineRule="auto"/>
    </w:pPr>
    <w:rPr>
      <w:rFonts w:ascii="Times New Roman" w:hAnsi="Times New Roman" w:cs="Times New Roman"/>
      <w:color w:val="000000"/>
      <w:sz w:val="24"/>
      <w:szCs w:val="24"/>
    </w:rPr>
  </w:style>
  <w:style w:type="paragraph" w:styleId="FootnoteText">
    <w:name w:val="footnote text"/>
    <w:basedOn w:val="Normal"/>
    <w:link w:val="FootnoteTextChar"/>
    <w:uiPriority w:val="99"/>
    <w:unhideWhenUsed/>
    <w:pPr>
      <w:spacing w:after="0" w:line="240" w:lineRule="auto"/>
    </w:pPr>
    <w:rPr>
      <w:sz w:val="20"/>
      <w:szCs w:val="20"/>
    </w:rPr>
  </w:style>
  <w:style w:type="character" w:customStyle="1" w:styleId="FootnoteTextChar">
    <w:name w:val="Footnote Text Char"/>
    <w:basedOn w:val="DefaultParagraphFont"/>
    <w:link w:val="FootnoteText"/>
    <w:uiPriority w:val="99"/>
    <w:rPr>
      <w:sz w:val="20"/>
      <w:szCs w:val="20"/>
    </w:rPr>
  </w:style>
  <w:style w:type="character" w:styleId="FootnoteReference">
    <w:name w:val="footnote reference"/>
    <w:basedOn w:val="DefaultParagraphFont"/>
    <w:uiPriority w:val="99"/>
    <w:unhideWhenUsed/>
    <w:rPr>
      <w:vertAlign w:val="superscript"/>
    </w:rPr>
  </w:style>
  <w:style w:type="paragraph" w:styleId="NormalWeb">
    <w:name w:val="Normal (Web)"/>
    <w:basedOn w:val="Normal"/>
    <w:uiPriority w:val="99"/>
    <w:unhideWhenUsed/>
    <w:pPr>
      <w:spacing w:before="100" w:beforeAutospacing="1" w:after="100" w:afterAutospacing="1" w:line="240" w:lineRule="auto"/>
    </w:pPr>
    <w:rPr>
      <w:rFonts w:ascii="Times New Roman" w:eastAsiaTheme="minorEastAsia" w:hAnsi="Times New Roman" w:cs="Times New Roman"/>
      <w:sz w:val="24"/>
      <w:szCs w:val="24"/>
    </w:rPr>
  </w:style>
  <w:style w:type="character" w:styleId="Emphasis">
    <w:name w:val="Emphasis"/>
    <w:basedOn w:val="DefaultParagraphFont"/>
    <w:uiPriority w:val="20"/>
    <w:qFormat/>
    <w:rPr>
      <w:i/>
      <w:iCs/>
    </w:rPr>
  </w:style>
  <w:style w:type="paragraph" w:styleId="BalloonText">
    <w:name w:val="Balloon Text"/>
    <w:basedOn w:val="Normal"/>
    <w:link w:val="BalloonTextChar"/>
    <w:uiPriority w:val="99"/>
    <w:semiHidden/>
    <w:unhideWhenUsed/>
    <w:rsid w:val="00D855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52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cafeland.vn/chu-de-nong/mua-nha-tra-gop-644/" TargetMode="External"/><Relationship Id="rId12"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4900-4D6E-876F-25C8891E465E}"/>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4900-4D6E-876F-25C8891E465E}"/>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4900-4D6E-876F-25C8891E465E}"/>
              </c:ext>
            </c:extLst>
          </c:dPt>
          <c:dPt>
            <c:idx val="3"/>
            <c:bubble3D val="0"/>
            <c:spPr>
              <a:solidFill>
                <a:schemeClr val="accent4"/>
              </a:solidFill>
              <a:ln w="25400">
                <a:solidFill>
                  <a:schemeClr val="lt1"/>
                </a:solidFill>
              </a:ln>
              <a:effectLst/>
              <a:sp3d contourW="25400">
                <a:contourClr>
                  <a:schemeClr val="lt1"/>
                </a:contourClr>
              </a:sp3d>
            </c:spPr>
            <c:extLst>
              <c:ext xmlns:c16="http://schemas.microsoft.com/office/drawing/2014/chart" uri="{C3380CC4-5D6E-409C-BE32-E72D297353CC}">
                <c16:uniqueId val="{00000007-4900-4D6E-876F-25C8891E465E}"/>
              </c:ext>
            </c:extLst>
          </c:dPt>
          <c:dPt>
            <c:idx val="4"/>
            <c:bubble3D val="0"/>
            <c:spPr>
              <a:solidFill>
                <a:schemeClr val="accent5"/>
              </a:solidFill>
              <a:ln w="25400">
                <a:solidFill>
                  <a:schemeClr val="lt1"/>
                </a:solidFill>
              </a:ln>
              <a:effectLst/>
              <a:sp3d contourW="25400">
                <a:contourClr>
                  <a:schemeClr val="lt1"/>
                </a:contourClr>
              </a:sp3d>
            </c:spPr>
            <c:extLst>
              <c:ext xmlns:c16="http://schemas.microsoft.com/office/drawing/2014/chart" uri="{C3380CC4-5D6E-409C-BE32-E72D297353CC}">
                <c16:uniqueId val="{00000009-4900-4D6E-876F-25C8891E465E}"/>
              </c:ext>
            </c:extLst>
          </c:dPt>
          <c:dPt>
            <c:idx val="5"/>
            <c:bubble3D val="0"/>
            <c:spPr>
              <a:solidFill>
                <a:schemeClr val="accent6"/>
              </a:solidFill>
              <a:ln w="25400">
                <a:solidFill>
                  <a:schemeClr val="lt1"/>
                </a:solidFill>
              </a:ln>
              <a:effectLst/>
              <a:sp3d contourW="25400">
                <a:contourClr>
                  <a:schemeClr val="lt1"/>
                </a:contourClr>
              </a:sp3d>
            </c:spPr>
            <c:extLst>
              <c:ext xmlns:c16="http://schemas.microsoft.com/office/drawing/2014/chart" uri="{C3380CC4-5D6E-409C-BE32-E72D297353CC}">
                <c16:uniqueId val="{0000000B-4900-4D6E-876F-25C8891E465E}"/>
              </c:ext>
            </c:extLst>
          </c:dPt>
          <c:dPt>
            <c:idx val="6"/>
            <c:bubble3D val="0"/>
            <c:spPr>
              <a:solidFill>
                <a:schemeClr val="accent1">
                  <a:lumMod val="60000"/>
                </a:schemeClr>
              </a:solidFill>
              <a:ln w="25400">
                <a:solidFill>
                  <a:schemeClr val="lt1"/>
                </a:solidFill>
              </a:ln>
              <a:effectLst/>
              <a:sp3d contourW="25400">
                <a:contourClr>
                  <a:schemeClr val="lt1"/>
                </a:contourClr>
              </a:sp3d>
            </c:spPr>
            <c:extLst>
              <c:ext xmlns:c16="http://schemas.microsoft.com/office/drawing/2014/chart" uri="{C3380CC4-5D6E-409C-BE32-E72D297353CC}">
                <c16:uniqueId val="{0000000D-4900-4D6E-876F-25C8891E465E}"/>
              </c:ext>
            </c:extLst>
          </c:dPt>
          <c:dLbls>
            <c:dLbl>
              <c:idx val="0"/>
              <c:layout>
                <c:manualLayout>
                  <c:x val="-0.13368948451380286"/>
                  <c:y val="4.0790277493431372E-2"/>
                </c:manualLayout>
              </c:layout>
              <c:tx>
                <c:rich>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vi-VN" altLang="ko-KR" sz="900" b="1" baseline="0" dirty="0"/>
                      <a:t>Đăng ký mua trước 682,490</a:t>
                    </a:r>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1-4900-4D6E-876F-25C8891E465E}"/>
                </c:ext>
              </c:extLst>
            </c:dLbl>
            <c:dLbl>
              <c:idx val="1"/>
              <c:tx>
                <c:rich>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en-US" altLang="ko-KR" sz="900" b="1" baseline="0" dirty="0"/>
                      <a:t>Trái phiếu nhà ở quốc dân 732,661</a:t>
                    </a:r>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3-4900-4D6E-876F-25C8891E465E}"/>
                </c:ext>
              </c:extLst>
            </c:dLbl>
            <c:dLbl>
              <c:idx val="2"/>
              <c:layout>
                <c:manualLayout>
                  <c:x val="0"/>
                  <c:y val="3.6157382581094528E-2"/>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vi-VN" altLang="ko-KR" sz="800" b="1" dirty="0">
                        <a:latin typeface="Times New Roman" panose="02020603050405020304" pitchFamily="18" charset="0"/>
                        <a:cs typeface="Times New Roman" panose="02020603050405020304" pitchFamily="18" charset="0"/>
                      </a:rPr>
                      <a:t>Lãi</a:t>
                    </a:r>
                    <a:r>
                      <a:rPr lang="vi-VN" altLang="ko-KR" sz="800" b="1" baseline="0" dirty="0">
                        <a:latin typeface="Times New Roman" panose="02020603050405020304" pitchFamily="18" charset="0"/>
                        <a:cs typeface="Times New Roman" panose="02020603050405020304" pitchFamily="18" charset="0"/>
                      </a:rPr>
                      <a:t> chưa trẻ 88,950</a:t>
                    </a:r>
                  </a:p>
                </c:rich>
              </c:tx>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1"/>
              <c:showSerName val="0"/>
              <c:showPercent val="1"/>
              <c:showBubbleSize val="0"/>
              <c:extLst>
                <c:ext xmlns:c15="http://schemas.microsoft.com/office/drawing/2012/chart" uri="{CE6537A1-D6FC-4f65-9D91-7224C49458BB}">
                  <c15:layout>
                    <c:manualLayout>
                      <c:w val="0.19155895230711714"/>
                      <c:h val="0.13794975292507836"/>
                    </c:manualLayout>
                  </c15:layout>
                  <c15:showDataLabelsRange val="0"/>
                </c:ext>
                <c:ext xmlns:c16="http://schemas.microsoft.com/office/drawing/2014/chart" uri="{C3380CC4-5D6E-409C-BE32-E72D297353CC}">
                  <c16:uniqueId val="{00000005-4900-4D6E-876F-25C8891E465E}"/>
                </c:ext>
              </c:extLst>
            </c:dLbl>
            <c:dLbl>
              <c:idx val="3"/>
              <c:layout>
                <c:manualLayout>
                  <c:x val="1.1816737716809255E-2"/>
                  <c:y val="-0.13531489085397413"/>
                </c:manualLayout>
              </c:layout>
              <c:tx>
                <c:rich>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en-US" altLang="ko-KR" sz="800" b="1" baseline="0" dirty="0" err="1"/>
                      <a:t>Khác</a:t>
                    </a:r>
                    <a:r>
                      <a:rPr lang="en-US" altLang="ko-KR" sz="800" b="1" baseline="0" dirty="0"/>
                      <a:t> 944</a:t>
                    </a:r>
                  </a:p>
                </c:rich>
              </c:tx>
              <c:spPr>
                <a:noFill/>
                <a:ln>
                  <a:noFill/>
                </a:ln>
                <a:effectLst/>
              </c:spPr>
              <c:txPr>
                <a:bodyPr rot="0" spcFirstLastPara="1" vertOverflow="ellipsis" vert="horz" wrap="square" lIns="38100" tIns="19050" rIns="38100" bIns="19050" anchor="ctr" anchorCtr="1">
                  <a:spAutoFit/>
                </a:bodyPr>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1"/>
              <c:showSerName val="0"/>
              <c:showPercent val="1"/>
              <c:showBubbleSize val="0"/>
              <c:extLst>
                <c:ext xmlns:c15="http://schemas.microsoft.com/office/drawing/2012/chart" uri="{CE6537A1-D6FC-4f65-9D91-7224C49458BB}">
                  <c15:showDataLabelsRange val="0"/>
                </c:ext>
                <c:ext xmlns:c16="http://schemas.microsoft.com/office/drawing/2014/chart" uri="{C3380CC4-5D6E-409C-BE32-E72D297353CC}">
                  <c16:uniqueId val="{00000007-4900-4D6E-876F-25C8891E465E}"/>
                </c:ext>
              </c:extLst>
            </c:dLbl>
            <c:dLbl>
              <c:idx val="4"/>
              <c:layout>
                <c:manualLayout>
                  <c:x val="-3.767425945225103E-2"/>
                  <c:y val="-3.2645285158434775E-2"/>
                </c:manualLayout>
              </c:layout>
              <c:tx>
                <c:rich>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vi-VN" altLang="ko-KR" sz="900" b="1" baseline="0" dirty="0"/>
                      <a:t>Vốn nhà nước </a:t>
                    </a:r>
                    <a:fld id="{DA167FA5-F5D2-4AF3-B2DB-F470C8E083AB}" type="VALUE">
                      <a:rPr lang="en-US" altLang="ko-KR" sz="900" b="1" baseline="0"/>
                      <a:pPr>
                        <a:defRPr>
                          <a:latin typeface="Times New Roman" panose="02020603050405020304" pitchFamily="18" charset="0"/>
                          <a:cs typeface="Times New Roman" panose="02020603050405020304" pitchFamily="18" charset="0"/>
                        </a:defRPr>
                      </a:pPr>
                      <a:t>[VALUE]</a:t>
                    </a:fld>
                    <a:endParaRPr lang="vi-VN" altLang="ko-KR" sz="900" b="1" baseline="0" dirty="0"/>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1"/>
              <c:showSerName val="0"/>
              <c:showPercent val="1"/>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9-4900-4D6E-876F-25C8891E465E}"/>
                </c:ext>
              </c:extLst>
            </c:dLbl>
            <c:dLbl>
              <c:idx val="5"/>
              <c:layout>
                <c:manualLayout>
                  <c:x val="0.13058927245912477"/>
                  <c:y val="9.5613576249631565E-4"/>
                </c:manualLayout>
              </c:layout>
              <c:tx>
                <c:rich>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en-US" altLang="ko-KR" sz="900" b="1" dirty="0" err="1"/>
                      <a:t>Tiền</a:t>
                    </a:r>
                    <a:r>
                      <a:rPr lang="en-US" altLang="ko-KR" sz="900" b="1" baseline="0" dirty="0"/>
                      <a:t> </a:t>
                    </a:r>
                    <a:r>
                      <a:rPr lang="en-US" altLang="ko-KR" sz="900" b="1" baseline="0" dirty="0" err="1"/>
                      <a:t>tích</a:t>
                    </a:r>
                    <a:r>
                      <a:rPr lang="en-US" altLang="ko-KR" sz="900" b="1" baseline="0" dirty="0"/>
                      <a:t> </a:t>
                    </a:r>
                    <a:r>
                      <a:rPr lang="en-US" altLang="ko-KR" sz="900" b="1" baseline="0" dirty="0" err="1"/>
                      <a:t>lũy</a:t>
                    </a:r>
                    <a:r>
                      <a:rPr lang="en-US" altLang="ko-KR" sz="900" b="1" baseline="0" dirty="0"/>
                      <a:t> </a:t>
                    </a:r>
                    <a:r>
                      <a:rPr lang="en-US" altLang="ko-KR" sz="900" b="1" baseline="0" dirty="0" err="1"/>
                      <a:t>và</a:t>
                    </a:r>
                    <a:r>
                      <a:rPr lang="en-US" altLang="ko-KR" sz="900" b="1" baseline="0" dirty="0"/>
                      <a:t> </a:t>
                    </a:r>
                    <a:r>
                      <a:rPr lang="en-US" altLang="ko-KR" sz="900" b="1" baseline="0" dirty="0" err="1"/>
                      <a:t>tiền</a:t>
                    </a:r>
                    <a:r>
                      <a:rPr lang="en-US" altLang="ko-KR" sz="900" b="1" baseline="0" dirty="0"/>
                      <a:t> </a:t>
                    </a:r>
                    <a:r>
                      <a:rPr lang="en-US" altLang="ko-KR" sz="900" b="1" baseline="0" dirty="0" err="1"/>
                      <a:t>nhàn</a:t>
                    </a:r>
                    <a:r>
                      <a:rPr lang="en-US" altLang="ko-KR" sz="900" b="1" baseline="0" dirty="0"/>
                      <a:t> </a:t>
                    </a:r>
                    <a:r>
                      <a:rPr lang="en-US" altLang="ko-KR" sz="900" b="1" baseline="0" dirty="0" err="1"/>
                      <a:t>rỗi</a:t>
                    </a:r>
                    <a:r>
                      <a:rPr lang="en-US" altLang="ko-KR" sz="900" b="1" baseline="0" dirty="0"/>
                      <a:t> 199,964</a:t>
                    </a:r>
                  </a:p>
                </c:rich>
              </c:tx>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1"/>
              <c:showSerName val="0"/>
              <c:showPercent val="1"/>
              <c:showBubbleSize val="0"/>
              <c:extLst>
                <c:ext xmlns:c15="http://schemas.microsoft.com/office/drawing/2012/chart" uri="{CE6537A1-D6FC-4f65-9D91-7224C49458BB}">
                  <c15:layout>
                    <c:manualLayout>
                      <c:w val="0.231474399491225"/>
                      <c:h val="0.14303834916738797"/>
                    </c:manualLayout>
                  </c15:layout>
                  <c15:showDataLabelsRange val="0"/>
                </c:ext>
                <c:ext xmlns:c16="http://schemas.microsoft.com/office/drawing/2014/chart" uri="{C3380CC4-5D6E-409C-BE32-E72D297353CC}">
                  <c16:uniqueId val="{0000000B-4900-4D6E-876F-25C8891E465E}"/>
                </c:ext>
              </c:extLst>
            </c:dLbl>
            <c:dLbl>
              <c:idx val="6"/>
              <c:layout>
                <c:manualLayout>
                  <c:x val="0.13607800175189755"/>
                  <c:y val="2.8988422633961924E-2"/>
                </c:manualLayout>
              </c:layout>
              <c:tx>
                <c:rich>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r>
                      <a:rPr lang="en-US" altLang="ko-KR" sz="800" b="1" dirty="0" err="1">
                        <a:latin typeface="Times New Roman" panose="02020603050405020304" pitchFamily="18" charset="0"/>
                        <a:cs typeface="Times New Roman" panose="02020603050405020304" pitchFamily="18" charset="0"/>
                      </a:rPr>
                      <a:t>Huy</a:t>
                    </a:r>
                    <a:r>
                      <a:rPr lang="en-US" altLang="ko-KR" sz="800" b="1" dirty="0">
                        <a:latin typeface="Times New Roman" panose="02020603050405020304" pitchFamily="18" charset="0"/>
                        <a:cs typeface="Times New Roman" panose="02020603050405020304" pitchFamily="18" charset="0"/>
                      </a:rPr>
                      <a:t> </a:t>
                    </a:r>
                    <a:r>
                      <a:rPr lang="en-US" altLang="ko-KR" sz="800" b="1" dirty="0" err="1">
                        <a:latin typeface="Times New Roman" panose="02020603050405020304" pitchFamily="18" charset="0"/>
                        <a:cs typeface="Times New Roman" panose="02020603050405020304" pitchFamily="18" charset="0"/>
                      </a:rPr>
                      <a:t>động</a:t>
                    </a:r>
                    <a:r>
                      <a:rPr lang="en-US" altLang="ko-KR" sz="800" b="1" baseline="0" dirty="0">
                        <a:latin typeface="Times New Roman" panose="02020603050405020304" pitchFamily="18" charset="0"/>
                        <a:cs typeface="Times New Roman" panose="02020603050405020304" pitchFamily="18" charset="0"/>
                      </a:rPr>
                      <a:t> </a:t>
                    </a:r>
                    <a:r>
                      <a:rPr lang="en-US" altLang="ko-KR" sz="800" b="1" baseline="0" dirty="0" err="1">
                        <a:latin typeface="Times New Roman" panose="02020603050405020304" pitchFamily="18" charset="0"/>
                        <a:cs typeface="Times New Roman" panose="02020603050405020304" pitchFamily="18" charset="0"/>
                      </a:rPr>
                      <a:t>vốn</a:t>
                    </a:r>
                    <a:r>
                      <a:rPr lang="en-US" altLang="ko-KR" sz="800" b="1" baseline="0" dirty="0">
                        <a:latin typeface="Times New Roman" panose="02020603050405020304" pitchFamily="18" charset="0"/>
                        <a:cs typeface="Times New Roman" panose="02020603050405020304" pitchFamily="18" charset="0"/>
                      </a:rPr>
                      <a:t> 4,700</a:t>
                    </a:r>
                  </a:p>
                </c:rich>
              </c:tx>
              <c:spPr>
                <a:noFill/>
                <a:ln>
                  <a:noFill/>
                </a:ln>
                <a:effectLst/>
              </c:spPr>
              <c:txPr>
                <a:bodyPr rot="0" spcFirstLastPara="1" vertOverflow="ellipsis" vert="horz" wrap="square" lIns="38100" tIns="19050" rIns="38100" bIns="19050" anchor="ctr" anchorCtr="1">
                  <a:noAutofit/>
                </a:bodyPr>
                <a:lstStyle/>
                <a:p>
                  <a:pPr>
                    <a:defRPr sz="8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1"/>
              <c:showSerName val="0"/>
              <c:showPercent val="1"/>
              <c:showBubbleSize val="0"/>
              <c:extLst>
                <c:ext xmlns:c15="http://schemas.microsoft.com/office/drawing/2012/chart" uri="{CE6537A1-D6FC-4f65-9D91-7224C49458BB}">
                  <c15:layout>
                    <c:manualLayout>
                      <c:w val="0.13778238064953868"/>
                      <c:h val="0.16395038851934529"/>
                    </c:manualLayout>
                  </c15:layout>
                  <c15:showDataLabelsRange val="0"/>
                </c:ext>
                <c:ext xmlns:c16="http://schemas.microsoft.com/office/drawing/2014/chart" uri="{C3380CC4-5D6E-409C-BE32-E72D297353CC}">
                  <c16:uniqueId val="{0000000D-4900-4D6E-876F-25C8891E465E}"/>
                </c:ext>
              </c:extLst>
            </c:dLbl>
            <c:spPr>
              <a:noFill/>
              <a:ln>
                <a:noFill/>
              </a:ln>
              <a:effectLst/>
            </c:spPr>
            <c:txPr>
              <a:bodyPr rot="0" spcFirstLastPara="1" vertOverflow="ellipsis" vert="horz" wrap="square" lIns="38100" tIns="19050" rIns="38100" bIns="19050" anchor="ctr" anchorCtr="1">
                <a:spAutoFit/>
              </a:bodyPr>
              <a:lstStyle/>
              <a:p>
                <a:pPr>
                  <a:defRPr sz="700" b="0" i="0" u="none" strike="noStrike" kern="1200" baseline="0">
                    <a:solidFill>
                      <a:schemeClr val="tx1">
                        <a:lumMod val="75000"/>
                        <a:lumOff val="25000"/>
                      </a:schemeClr>
                    </a:solidFill>
                    <a:latin typeface="Times New Roman" panose="02020603050405020304" pitchFamily="18" charset="0"/>
                    <a:ea typeface="+mn-ea"/>
                    <a:cs typeface="Times New Roman" panose="02020603050405020304" pitchFamily="18" charset="0"/>
                  </a:defRPr>
                </a:pPr>
                <a:endParaRPr lang="en-US"/>
              </a:p>
            </c:txPr>
            <c:dLblPos val="inEnd"/>
            <c:showLegendKey val="0"/>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Sheet1!$D$37:$D$43</c:f>
              <c:strCache>
                <c:ptCount val="7"/>
                <c:pt idx="0">
                  <c:v>청약</c:v>
                </c:pt>
                <c:pt idx="1">
                  <c:v>국민주택채권</c:v>
                </c:pt>
                <c:pt idx="2">
                  <c:v>미지급이자 등</c:v>
                </c:pt>
                <c:pt idx="3">
                  <c:v>기타</c:v>
                </c:pt>
                <c:pt idx="4">
                  <c:v>정부출연금</c:v>
                </c:pt>
                <c:pt idx="5">
                  <c:v>적립금및잉여금</c:v>
                </c:pt>
                <c:pt idx="6">
                  <c:v>자본조정</c:v>
                </c:pt>
              </c:strCache>
            </c:strRef>
          </c:cat>
          <c:val>
            <c:numRef>
              <c:f>Sheet1!$E$37:$E$43</c:f>
              <c:numCache>
                <c:formatCode>_(* #,##0_);_(* \(#,##0\);_(* "-"_);_(@_)</c:formatCode>
                <c:ptCount val="7"/>
                <c:pt idx="0">
                  <c:v>652531.61169407004</c:v>
                </c:pt>
                <c:pt idx="1">
                  <c:v>694160.26092000003</c:v>
                </c:pt>
                <c:pt idx="2">
                  <c:v>85740.857071229999</c:v>
                </c:pt>
                <c:pt idx="3">
                  <c:v>1408.9416189399999</c:v>
                </c:pt>
                <c:pt idx="4">
                  <c:v>3430</c:v>
                </c:pt>
                <c:pt idx="5">
                  <c:v>154370.15931280001</c:v>
                </c:pt>
                <c:pt idx="6">
                  <c:v>41818.6342286</c:v>
                </c:pt>
              </c:numCache>
            </c:numRef>
          </c:val>
          <c:extLst>
            <c:ext xmlns:c16="http://schemas.microsoft.com/office/drawing/2014/chart" uri="{C3380CC4-5D6E-409C-BE32-E72D297353CC}">
              <c16:uniqueId val="{0000000E-4900-4D6E-876F-25C8891E465E}"/>
            </c:ext>
          </c:extLst>
        </c:ser>
        <c:dLbls>
          <c:dLblPos val="in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31</Pages>
  <Words>17407</Words>
  <Characters>60058</Characters>
  <Application>Microsoft Office Word</Application>
  <DocSecurity>0</DocSecurity>
  <Lines>1277</Lines>
  <Paragraphs>421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Vân Nguyễn</dc:creator>
  <cp:keywords/>
  <dc:description/>
  <cp:lastModifiedBy>DELL</cp:lastModifiedBy>
  <cp:revision>3</cp:revision>
  <cp:lastPrinted>2022-12-26T06:35:00Z</cp:lastPrinted>
  <dcterms:created xsi:type="dcterms:W3CDTF">2022-12-26T06:34:00Z</dcterms:created>
  <dcterms:modified xsi:type="dcterms:W3CDTF">2022-12-26T06:36:00Z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138ac30c5da2cb1bd1f7bb8f38590fe3b261db7e8d8d21445a88993c07b9fda8</vt:lpwstr>
  </property>
</Properties>
</file>